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AE" w:rsidRPr="00D5331F" w:rsidRDefault="00316EAE" w:rsidP="00316EAE">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16EAE" w:rsidRPr="00C446CC" w:rsidRDefault="00316EAE" w:rsidP="00316EAE">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316EAE" w:rsidRPr="00C446CC" w:rsidRDefault="00316EAE" w:rsidP="00316EAE">
      <w:pPr>
        <w:pBdr>
          <w:bottom w:val="single" w:sz="6" w:space="1" w:color="auto"/>
        </w:pBdr>
        <w:tabs>
          <w:tab w:val="left" w:pos="3120"/>
        </w:tabs>
        <w:spacing w:after="0"/>
        <w:jc w:val="center"/>
        <w:rPr>
          <w:sz w:val="16"/>
          <w:szCs w:val="16"/>
        </w:rPr>
      </w:pPr>
    </w:p>
    <w:p w:rsidR="00316EAE" w:rsidRDefault="00316EAE" w:rsidP="00316EAE">
      <w:pPr>
        <w:tabs>
          <w:tab w:val="left" w:pos="3120"/>
        </w:tabs>
        <w:spacing w:after="0"/>
        <w:rPr>
          <w:b/>
        </w:rPr>
      </w:pPr>
      <w:r w:rsidRPr="00C446CC">
        <w:rPr>
          <w:b/>
        </w:rPr>
        <w:tab/>
      </w:r>
    </w:p>
    <w:p w:rsidR="00316EAE" w:rsidRPr="0044656B" w:rsidRDefault="00316EAE" w:rsidP="00316EAE">
      <w:pPr>
        <w:tabs>
          <w:tab w:val="left" w:pos="3120"/>
        </w:tabs>
        <w:spacing w:after="0"/>
        <w:jc w:val="center"/>
        <w:rPr>
          <w:b/>
        </w:rPr>
      </w:pPr>
      <w:r w:rsidRPr="0044656B">
        <w:rPr>
          <w:b/>
        </w:rPr>
        <w:t>Občasna informacija članom 6</w:t>
      </w:r>
      <w:r>
        <w:rPr>
          <w:b/>
        </w:rPr>
        <w:t>5</w:t>
      </w:r>
      <w:r w:rsidRPr="0044656B">
        <w:rPr>
          <w:b/>
        </w:rPr>
        <w:t xml:space="preserve"> – 2019</w:t>
      </w:r>
    </w:p>
    <w:p w:rsidR="00316EAE" w:rsidRPr="0044656B" w:rsidRDefault="00316EAE" w:rsidP="00316EAE">
      <w:pPr>
        <w:tabs>
          <w:tab w:val="left" w:pos="3120"/>
        </w:tabs>
        <w:spacing w:after="0"/>
        <w:jc w:val="center"/>
        <w:rPr>
          <w:b/>
        </w:rPr>
      </w:pPr>
    </w:p>
    <w:p w:rsidR="00316EAE" w:rsidRPr="0044656B" w:rsidRDefault="00316EAE" w:rsidP="00316EAE">
      <w:pPr>
        <w:tabs>
          <w:tab w:val="left" w:pos="3120"/>
        </w:tabs>
        <w:spacing w:after="0"/>
        <w:jc w:val="center"/>
        <w:rPr>
          <w:b/>
        </w:rPr>
      </w:pPr>
      <w:r w:rsidRPr="0044656B">
        <w:rPr>
          <w:b/>
        </w:rPr>
        <w:t>23. april 2019</w:t>
      </w:r>
    </w:p>
    <w:p w:rsidR="00316EAE" w:rsidRPr="0044656B" w:rsidRDefault="00316EAE" w:rsidP="00316EAE">
      <w:pPr>
        <w:tabs>
          <w:tab w:val="left" w:pos="3120"/>
        </w:tabs>
        <w:spacing w:after="0"/>
        <w:jc w:val="center"/>
        <w:rPr>
          <w:b/>
        </w:rPr>
      </w:pPr>
    </w:p>
    <w:p w:rsidR="00316EAE" w:rsidRDefault="00316EAE" w:rsidP="00316EAE">
      <w:pPr>
        <w:spacing w:after="0"/>
        <w:jc w:val="center"/>
        <w:rPr>
          <w:rFonts w:ascii="Arial" w:hAnsi="Arial" w:cs="Arial"/>
          <w:b/>
          <w:i/>
        </w:rPr>
      </w:pPr>
      <w:r>
        <w:rPr>
          <w:b/>
          <w:color w:val="993300"/>
          <w:sz w:val="32"/>
          <w:szCs w:val="32"/>
        </w:rPr>
        <w:t>Sprejete so spremembe direktive o plinu</w:t>
      </w:r>
    </w:p>
    <w:p w:rsidR="00316EAE" w:rsidRDefault="00316EAE" w:rsidP="00316EAE">
      <w:pPr>
        <w:spacing w:after="0"/>
        <w:jc w:val="both"/>
        <w:rPr>
          <w:rFonts w:ascii="Arial" w:hAnsi="Arial" w:cs="Arial"/>
          <w:b/>
          <w:i/>
        </w:rPr>
      </w:pPr>
    </w:p>
    <w:p w:rsidR="00316EAE" w:rsidRDefault="006034BC" w:rsidP="00316EAE">
      <w:pPr>
        <w:spacing w:after="0"/>
        <w:jc w:val="both"/>
        <w:rPr>
          <w:rFonts w:ascii="Arial" w:hAnsi="Arial" w:cs="Arial"/>
          <w:b/>
          <w:i/>
        </w:rPr>
      </w:pPr>
      <w:r w:rsidRPr="006D4914">
        <w:rPr>
          <w:rFonts w:ascii="Arial" w:hAnsi="Arial" w:cs="Arial"/>
          <w:b/>
          <w:i/>
        </w:rPr>
        <w:t>Države članice so v okviru Sveta EU sprejele spremembe direktive o plinu na podlagi katerih se bodo pravila, ki urejajo notranji trg plina EU, v prihodnje uporabljala tudi za plinovode, ki vodijo v tretje države in iz njih. Pravila, ki urejajo notranji trg plina EU, se bodo tako uporabljala za prenosne plinovode med državo članico in tretjo državo, in sicer do meje ozemlja in teritorialnega morja te države članice. Člani lahko dobijo podrobnejše informacije na SBRA.</w:t>
      </w:r>
    </w:p>
    <w:p w:rsidR="00316EAE" w:rsidRPr="00316EAE" w:rsidRDefault="00316EAE" w:rsidP="00316EAE">
      <w:pPr>
        <w:spacing w:after="0"/>
        <w:jc w:val="both"/>
        <w:rPr>
          <w:rFonts w:ascii="Arial" w:hAnsi="Arial" w:cs="Arial"/>
          <w:b/>
          <w:i/>
        </w:rPr>
      </w:pPr>
    </w:p>
    <w:p w:rsidR="006034BC" w:rsidRDefault="006034BC" w:rsidP="006D4914">
      <w:pPr>
        <w:jc w:val="both"/>
        <w:rPr>
          <w:rFonts w:ascii="Arial" w:hAnsi="Arial" w:cs="Arial"/>
          <w:sz w:val="20"/>
          <w:szCs w:val="20"/>
        </w:rPr>
      </w:pPr>
      <w:r w:rsidRPr="006D4914">
        <w:rPr>
          <w:rFonts w:ascii="Arial" w:hAnsi="Arial" w:cs="Arial"/>
          <w:sz w:val="20"/>
          <w:szCs w:val="20"/>
        </w:rPr>
        <w:t xml:space="preserve">Ločevanje lastništva, dostop tretjih strani, </w:t>
      </w:r>
      <w:proofErr w:type="spellStart"/>
      <w:r w:rsidRPr="006D4914">
        <w:rPr>
          <w:rFonts w:ascii="Arial" w:hAnsi="Arial" w:cs="Arial"/>
          <w:sz w:val="20"/>
          <w:szCs w:val="20"/>
        </w:rPr>
        <w:t>nediskriminatorne</w:t>
      </w:r>
      <w:proofErr w:type="spellEnd"/>
      <w:r w:rsidRPr="006D4914">
        <w:rPr>
          <w:rFonts w:ascii="Arial" w:hAnsi="Arial" w:cs="Arial"/>
          <w:sz w:val="20"/>
          <w:szCs w:val="20"/>
        </w:rPr>
        <w:t xml:space="preserve"> tarife in zahteve glede preglednosti, so glavni elementi pravil za trg plina EU, ki jih od leta 2009 določa direktiva o plinu. Sprememba, ki so jo sprejele države članice, omogoča odstopanja za obstoječe plinovode, ki vodijo v tretje države in iz njih, pa tudi izvzetja glede novih plinovodov.</w:t>
      </w:r>
    </w:p>
    <w:p w:rsidR="00316EAE" w:rsidRPr="006D4914" w:rsidRDefault="00316EAE" w:rsidP="006D4914">
      <w:pPr>
        <w:jc w:val="both"/>
        <w:rPr>
          <w:rFonts w:ascii="Arial" w:hAnsi="Arial" w:cs="Arial"/>
          <w:sz w:val="20"/>
          <w:szCs w:val="20"/>
        </w:rPr>
      </w:pPr>
      <w:r>
        <w:rPr>
          <w:rFonts w:ascii="Arial" w:hAnsi="Arial" w:cs="Arial"/>
          <w:sz w:val="20"/>
          <w:szCs w:val="20"/>
        </w:rPr>
        <w:t>Spremembe bodo stopile v veljavo 20. dan po objavi v uradnem listu EU. Države članice jih bodo morale prenesti v svoji nacionalni pravni red v devetih mesecih.</w:t>
      </w:r>
    </w:p>
    <w:p w:rsidR="006034BC" w:rsidRPr="006D4914" w:rsidRDefault="006034BC" w:rsidP="006D4914">
      <w:pPr>
        <w:jc w:val="both"/>
        <w:rPr>
          <w:rFonts w:ascii="Arial" w:hAnsi="Arial" w:cs="Arial"/>
          <w:b/>
          <w:sz w:val="20"/>
          <w:szCs w:val="20"/>
        </w:rPr>
      </w:pPr>
      <w:r w:rsidRPr="006D4914">
        <w:rPr>
          <w:rFonts w:ascii="Arial" w:hAnsi="Arial" w:cs="Arial"/>
          <w:b/>
          <w:sz w:val="20"/>
          <w:szCs w:val="20"/>
        </w:rPr>
        <w:t>Koristne informacije:</w:t>
      </w:r>
    </w:p>
    <w:p w:rsidR="006034BC" w:rsidRPr="006D4914" w:rsidRDefault="006034BC" w:rsidP="006D4914">
      <w:pPr>
        <w:pStyle w:val="Odstavekseznama"/>
        <w:numPr>
          <w:ilvl w:val="0"/>
          <w:numId w:val="1"/>
        </w:numPr>
        <w:jc w:val="both"/>
        <w:rPr>
          <w:rFonts w:ascii="Arial" w:hAnsi="Arial" w:cs="Arial"/>
          <w:sz w:val="20"/>
          <w:szCs w:val="20"/>
        </w:rPr>
      </w:pPr>
      <w:r w:rsidRPr="006D4914">
        <w:rPr>
          <w:rFonts w:ascii="Arial" w:hAnsi="Arial" w:cs="Arial"/>
          <w:sz w:val="20"/>
          <w:szCs w:val="20"/>
        </w:rPr>
        <w:t>Besedilo spremembe direktive:</w:t>
      </w:r>
    </w:p>
    <w:p w:rsidR="006034BC" w:rsidRPr="006D4914" w:rsidRDefault="006034BC" w:rsidP="006D4914">
      <w:pPr>
        <w:pStyle w:val="Odstavekseznama"/>
        <w:numPr>
          <w:ilvl w:val="0"/>
          <w:numId w:val="1"/>
        </w:numPr>
        <w:jc w:val="both"/>
        <w:rPr>
          <w:rFonts w:ascii="Arial" w:hAnsi="Arial" w:cs="Arial"/>
          <w:sz w:val="20"/>
          <w:szCs w:val="20"/>
        </w:rPr>
      </w:pPr>
      <w:hyperlink r:id="rId6" w:history="1">
        <w:r w:rsidRPr="006D4914">
          <w:rPr>
            <w:rStyle w:val="Hiperpovezava"/>
            <w:rFonts w:ascii="Arial" w:hAnsi="Arial" w:cs="Arial"/>
            <w:sz w:val="20"/>
            <w:szCs w:val="20"/>
          </w:rPr>
          <w:t>https://data.consilium.europa.eu/doc/document/PE-58-2019-INIT/sl/pdf</w:t>
        </w:r>
      </w:hyperlink>
    </w:p>
    <w:p w:rsidR="006034BC" w:rsidRPr="006D4914" w:rsidRDefault="006034BC" w:rsidP="006D4914">
      <w:pPr>
        <w:spacing w:after="0"/>
        <w:jc w:val="both"/>
        <w:rPr>
          <w:rFonts w:ascii="Arial" w:hAnsi="Arial" w:cs="Arial"/>
          <w:sz w:val="20"/>
          <w:szCs w:val="20"/>
        </w:rPr>
      </w:pPr>
      <w:r w:rsidRPr="006D4914">
        <w:rPr>
          <w:rFonts w:ascii="Arial" w:hAnsi="Arial" w:cs="Arial"/>
          <w:sz w:val="20"/>
          <w:szCs w:val="20"/>
        </w:rPr>
        <w:t>Pripravila:</w:t>
      </w:r>
    </w:p>
    <w:p w:rsidR="006034BC" w:rsidRPr="006D4914" w:rsidRDefault="006034BC" w:rsidP="006D4914">
      <w:pPr>
        <w:spacing w:after="0"/>
        <w:jc w:val="both"/>
        <w:rPr>
          <w:rFonts w:ascii="Arial" w:hAnsi="Arial" w:cs="Arial"/>
          <w:sz w:val="20"/>
          <w:szCs w:val="20"/>
        </w:rPr>
      </w:pPr>
      <w:r w:rsidRPr="006D4914">
        <w:rPr>
          <w:rFonts w:ascii="Arial" w:hAnsi="Arial" w:cs="Arial"/>
          <w:sz w:val="20"/>
          <w:szCs w:val="20"/>
        </w:rPr>
        <w:t>Darja Kocbek</w:t>
      </w:r>
    </w:p>
    <w:p w:rsidR="006034BC" w:rsidRDefault="006034BC" w:rsidP="006D4914">
      <w:pPr>
        <w:spacing w:after="0"/>
      </w:pPr>
    </w:p>
    <w:sectPr w:rsidR="006034BC" w:rsidSect="009009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E4CE1"/>
    <w:multiLevelType w:val="hybridMultilevel"/>
    <w:tmpl w:val="4600BD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34BC"/>
    <w:rsid w:val="00316EAE"/>
    <w:rsid w:val="006034BC"/>
    <w:rsid w:val="006D4914"/>
    <w:rsid w:val="009009C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009CD"/>
  </w:style>
  <w:style w:type="paragraph" w:styleId="Naslov2">
    <w:name w:val="heading 2"/>
    <w:basedOn w:val="Navaden"/>
    <w:next w:val="Navaden"/>
    <w:link w:val="Naslov2Znak"/>
    <w:uiPriority w:val="9"/>
    <w:semiHidden/>
    <w:unhideWhenUsed/>
    <w:qFormat/>
    <w:rsid w:val="00316EAE"/>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034B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034BC"/>
    <w:rPr>
      <w:color w:val="0000FF" w:themeColor="hyperlink"/>
      <w:u w:val="single"/>
    </w:rPr>
  </w:style>
  <w:style w:type="paragraph" w:styleId="Odstavekseznama">
    <w:name w:val="List Paragraph"/>
    <w:basedOn w:val="Navaden"/>
    <w:uiPriority w:val="34"/>
    <w:qFormat/>
    <w:rsid w:val="006D4914"/>
    <w:pPr>
      <w:ind w:left="720"/>
      <w:contextualSpacing/>
    </w:pPr>
  </w:style>
  <w:style w:type="character" w:customStyle="1" w:styleId="Naslov2Znak">
    <w:name w:val="Naslov 2 Znak"/>
    <w:basedOn w:val="Privzetapisavaodstavka"/>
    <w:link w:val="Naslov2"/>
    <w:uiPriority w:val="9"/>
    <w:semiHidden/>
    <w:rsid w:val="00316EA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16E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6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7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PE-58-2019-INIT/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1178</Characters>
  <Application>Microsoft Office Word</Application>
  <DocSecurity>0</DocSecurity>
  <Lines>16</Lines>
  <Paragraphs>3</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2019-04-18T12:53:00Z</dcterms:created>
  <dcterms:modified xsi:type="dcterms:W3CDTF">2019-04-18T13:08:00Z</dcterms:modified>
</cp:coreProperties>
</file>