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27" w:rsidRPr="00467345" w:rsidRDefault="009E3927" w:rsidP="009E392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E3927" w:rsidRPr="00301C78" w:rsidRDefault="009E3927" w:rsidP="009E3927">
      <w:pPr>
        <w:pStyle w:val="Naslov2"/>
        <w:tabs>
          <w:tab w:val="left" w:pos="3120"/>
        </w:tabs>
        <w:spacing w:before="0"/>
        <w:jc w:val="center"/>
        <w:rPr>
          <w:sz w:val="22"/>
        </w:rPr>
      </w:pPr>
      <w:r w:rsidRPr="00083714">
        <w:rPr>
          <w:sz w:val="22"/>
        </w:rPr>
        <w:t>Slovensko gospodarsko in raziskovalno združenje, Bruselj</w:t>
      </w:r>
    </w:p>
    <w:p w:rsidR="009E3927" w:rsidRPr="00083714" w:rsidRDefault="009E3927" w:rsidP="009E3927">
      <w:pPr>
        <w:pBdr>
          <w:bottom w:val="single" w:sz="6" w:space="1" w:color="auto"/>
        </w:pBdr>
        <w:tabs>
          <w:tab w:val="left" w:pos="3120"/>
        </w:tabs>
        <w:rPr>
          <w:sz w:val="16"/>
          <w:szCs w:val="16"/>
        </w:rPr>
      </w:pPr>
    </w:p>
    <w:p w:rsidR="009E3927" w:rsidRDefault="009E3927" w:rsidP="009E3927">
      <w:pPr>
        <w:tabs>
          <w:tab w:val="left" w:pos="3120"/>
        </w:tabs>
        <w:jc w:val="center"/>
        <w:rPr>
          <w:b/>
        </w:rPr>
      </w:pPr>
      <w:r>
        <w:rPr>
          <w:b/>
        </w:rPr>
        <w:t xml:space="preserve">Občasna informacija članom 57 </w:t>
      </w:r>
      <w:r w:rsidRPr="00083714">
        <w:rPr>
          <w:b/>
        </w:rPr>
        <w:t>– 20</w:t>
      </w:r>
      <w:r>
        <w:rPr>
          <w:b/>
        </w:rPr>
        <w:t>23</w:t>
      </w:r>
    </w:p>
    <w:p w:rsidR="009E3927" w:rsidRDefault="009E3927" w:rsidP="009E3927">
      <w:pPr>
        <w:tabs>
          <w:tab w:val="left" w:pos="3120"/>
        </w:tabs>
        <w:jc w:val="center"/>
        <w:rPr>
          <w:b/>
        </w:rPr>
      </w:pPr>
      <w:r>
        <w:rPr>
          <w:b/>
        </w:rPr>
        <w:t xml:space="preserve">03. april </w:t>
      </w:r>
      <w:r w:rsidRPr="00083714">
        <w:rPr>
          <w:b/>
        </w:rPr>
        <w:t xml:space="preserve"> 20</w:t>
      </w:r>
      <w:r>
        <w:rPr>
          <w:b/>
        </w:rPr>
        <w:t>23</w:t>
      </w:r>
    </w:p>
    <w:p w:rsidR="009E3927" w:rsidRDefault="009E3927" w:rsidP="009E3927">
      <w:pPr>
        <w:jc w:val="center"/>
        <w:rPr>
          <w:rFonts w:ascii="Arial" w:hAnsi="Arial" w:cs="Arial"/>
          <w:b/>
          <w:i/>
        </w:rPr>
      </w:pPr>
      <w:r>
        <w:rPr>
          <w:b/>
          <w:color w:val="993300"/>
          <w:sz w:val="32"/>
          <w:szCs w:val="32"/>
        </w:rPr>
        <w:t xml:space="preserve">EU nima strategije, ki bi bila posebej namenjena </w:t>
      </w:r>
      <w:proofErr w:type="spellStart"/>
      <w:r>
        <w:rPr>
          <w:b/>
          <w:color w:val="993300"/>
          <w:sz w:val="32"/>
          <w:szCs w:val="32"/>
        </w:rPr>
        <w:t>intermodalnemu</w:t>
      </w:r>
      <w:proofErr w:type="spellEnd"/>
      <w:r>
        <w:rPr>
          <w:b/>
          <w:color w:val="993300"/>
          <w:sz w:val="32"/>
          <w:szCs w:val="32"/>
        </w:rPr>
        <w:t xml:space="preserve"> prevozu tovora</w:t>
      </w:r>
    </w:p>
    <w:p w:rsidR="00F61433" w:rsidRPr="009E3927" w:rsidRDefault="00827CB3" w:rsidP="009E3927">
      <w:pPr>
        <w:jc w:val="both"/>
        <w:rPr>
          <w:rFonts w:ascii="Arial" w:hAnsi="Arial" w:cs="Arial"/>
          <w:b/>
          <w:i/>
        </w:rPr>
      </w:pPr>
      <w:r w:rsidRPr="009E3927">
        <w:rPr>
          <w:rFonts w:ascii="Arial" w:hAnsi="Arial" w:cs="Arial"/>
          <w:b/>
          <w:i/>
        </w:rPr>
        <w:t xml:space="preserve">Pred </w:t>
      </w:r>
      <w:proofErr w:type="spellStart"/>
      <w:r w:rsidRPr="009E3927">
        <w:rPr>
          <w:rFonts w:ascii="Arial" w:hAnsi="Arial" w:cs="Arial"/>
          <w:b/>
          <w:i/>
        </w:rPr>
        <w:t>intermodalnim</w:t>
      </w:r>
      <w:proofErr w:type="spellEnd"/>
      <w:r w:rsidRPr="009E3927">
        <w:rPr>
          <w:rFonts w:ascii="Arial" w:hAnsi="Arial" w:cs="Arial"/>
          <w:b/>
          <w:i/>
        </w:rPr>
        <w:t xml:space="preserve"> prevozom tovora v EU je še dolga pot: vlaki in tovorne ladje trenutno ne morejo pod enakimi pogoji konkurirati tovornjakom, ugotavljajo revizorji Evropskega računskega sodišča. EU nima strategije, ki bi bila posebej namenjena </w:t>
      </w:r>
      <w:proofErr w:type="spellStart"/>
      <w:r w:rsidRPr="009E3927">
        <w:rPr>
          <w:rFonts w:ascii="Arial" w:hAnsi="Arial" w:cs="Arial"/>
          <w:b/>
          <w:i/>
        </w:rPr>
        <w:t>intermodalnemu</w:t>
      </w:r>
      <w:proofErr w:type="spellEnd"/>
      <w:r w:rsidRPr="009E3927">
        <w:rPr>
          <w:rFonts w:ascii="Arial" w:hAnsi="Arial" w:cs="Arial"/>
          <w:b/>
          <w:i/>
        </w:rPr>
        <w:t xml:space="preserve"> prevozu tovora, temveč je </w:t>
      </w:r>
      <w:proofErr w:type="spellStart"/>
      <w:r w:rsidRPr="009E3927">
        <w:rPr>
          <w:rFonts w:ascii="Arial" w:hAnsi="Arial" w:cs="Arial"/>
          <w:b/>
          <w:i/>
        </w:rPr>
        <w:t>intermodalnost</w:t>
      </w:r>
      <w:proofErr w:type="spellEnd"/>
      <w:r w:rsidRPr="009E3927">
        <w:rPr>
          <w:rFonts w:ascii="Arial" w:hAnsi="Arial" w:cs="Arial"/>
          <w:b/>
          <w:i/>
        </w:rPr>
        <w:t xml:space="preserve"> del širših strategij za okolju prijaznejši prevoz tovora, v katerih so določeni posebni količinski cilji za večjo uporabo železnic in celinskih plovnih poti. Ker pa ti cilji niso zavezujoči, so države EU določile lastne cilje. Vendar ti nacionalni cilji niso nujno primerljivi med seboj in usklajeni s cilji EU.</w:t>
      </w:r>
    </w:p>
    <w:p w:rsidR="00827CB3" w:rsidRPr="009E3927" w:rsidRDefault="00827CB3" w:rsidP="009E3927">
      <w:pPr>
        <w:jc w:val="both"/>
        <w:rPr>
          <w:rFonts w:ascii="Arial" w:hAnsi="Arial" w:cs="Arial"/>
          <w:sz w:val="20"/>
          <w:szCs w:val="20"/>
        </w:rPr>
      </w:pPr>
      <w:r w:rsidRPr="009E3927">
        <w:rPr>
          <w:rFonts w:ascii="Arial" w:hAnsi="Arial" w:cs="Arial"/>
          <w:sz w:val="20"/>
          <w:szCs w:val="20"/>
        </w:rPr>
        <w:t>Zato ni mogoče oceniti, ali prizadevanja vseh držav članic skupaj zadostujejo za izpolnitev skupnih ciljev EU glede prehoda na druge oblike prevoza. V vsakem primeru so cilji, ki jih je EU določila za leti 2030 in 2050 (podvojitev obsega železniškega prometa in povečanje uporabe plovnih poti za 50 odstotkov), po mnenju revizorjev preprosto nerealni.</w:t>
      </w:r>
    </w:p>
    <w:p w:rsidR="00827CB3" w:rsidRPr="009E3927" w:rsidRDefault="00827CB3" w:rsidP="009E3927">
      <w:pPr>
        <w:jc w:val="both"/>
        <w:rPr>
          <w:rFonts w:ascii="Arial" w:hAnsi="Arial" w:cs="Arial"/>
          <w:sz w:val="20"/>
          <w:szCs w:val="20"/>
        </w:rPr>
      </w:pPr>
      <w:r w:rsidRPr="009E3927">
        <w:rPr>
          <w:rFonts w:ascii="Arial" w:hAnsi="Arial" w:cs="Arial"/>
          <w:sz w:val="20"/>
          <w:szCs w:val="20"/>
        </w:rPr>
        <w:t xml:space="preserve">Sedanja različica direktive o kombiniranem prevozu je zastarela (iz leta 1992) in neučinkovita. Vsebuje na primer zahtevo, na podlagi katere je treba pripraviti papirno listino, ki jo železniški ali pristaniški organi žigosajo med celotno potjo, medtem ko bi bil digitalizirani potek dela učinkovitejši. Evropska komisija je že večkrat skušala zadevno direktivo revidirati, vendar ni pridobila soglasja držav članic. Poleg tega obstajajo </w:t>
      </w:r>
      <w:proofErr w:type="spellStart"/>
      <w:r w:rsidRPr="009E3927">
        <w:rPr>
          <w:rFonts w:ascii="Arial" w:hAnsi="Arial" w:cs="Arial"/>
          <w:sz w:val="20"/>
          <w:szCs w:val="20"/>
        </w:rPr>
        <w:t>regulativne</w:t>
      </w:r>
      <w:proofErr w:type="spellEnd"/>
      <w:r w:rsidRPr="009E3927">
        <w:rPr>
          <w:rFonts w:ascii="Arial" w:hAnsi="Arial" w:cs="Arial"/>
          <w:sz w:val="20"/>
          <w:szCs w:val="20"/>
        </w:rPr>
        <w:t xml:space="preserve"> določbe EU, zlasti tiste, ki urejajo cestni prevoz, ki pa so včasih v nasprotju s ciljem spodbujanja </w:t>
      </w:r>
      <w:proofErr w:type="spellStart"/>
      <w:r w:rsidRPr="009E3927">
        <w:rPr>
          <w:rFonts w:ascii="Arial" w:hAnsi="Arial" w:cs="Arial"/>
          <w:sz w:val="20"/>
          <w:szCs w:val="20"/>
        </w:rPr>
        <w:t>intermodalnosti</w:t>
      </w:r>
      <w:proofErr w:type="spellEnd"/>
      <w:r w:rsidRPr="009E3927">
        <w:rPr>
          <w:rFonts w:ascii="Arial" w:hAnsi="Arial" w:cs="Arial"/>
          <w:sz w:val="20"/>
          <w:szCs w:val="20"/>
        </w:rPr>
        <w:t>.</w:t>
      </w:r>
    </w:p>
    <w:p w:rsidR="00827CB3" w:rsidRPr="009E3927" w:rsidRDefault="00827CB3" w:rsidP="009E3927">
      <w:pPr>
        <w:jc w:val="both"/>
        <w:rPr>
          <w:rFonts w:ascii="Arial" w:hAnsi="Arial" w:cs="Arial"/>
          <w:sz w:val="20"/>
          <w:szCs w:val="20"/>
        </w:rPr>
      </w:pPr>
      <w:r w:rsidRPr="009E3927">
        <w:rPr>
          <w:rFonts w:ascii="Arial" w:hAnsi="Arial" w:cs="Arial"/>
          <w:sz w:val="20"/>
          <w:szCs w:val="20"/>
        </w:rPr>
        <w:t>Revizorji opozarjajo tudi na zamude, ki jih imajo države EU pri zagotavljanju skladnosti infrastrukture s tehničnimi zahtevami, določenimi v zakonodaji EU.</w:t>
      </w:r>
    </w:p>
    <w:p w:rsidR="00827CB3" w:rsidRPr="009E3927" w:rsidRDefault="00827CB3" w:rsidP="009E3927">
      <w:pPr>
        <w:jc w:val="both"/>
        <w:rPr>
          <w:rFonts w:ascii="Arial" w:hAnsi="Arial" w:cs="Arial"/>
          <w:b/>
          <w:sz w:val="20"/>
          <w:szCs w:val="20"/>
        </w:rPr>
      </w:pPr>
      <w:r w:rsidRPr="009E3927">
        <w:rPr>
          <w:rFonts w:ascii="Arial" w:hAnsi="Arial" w:cs="Arial"/>
          <w:b/>
          <w:sz w:val="20"/>
          <w:szCs w:val="20"/>
        </w:rPr>
        <w:t>Več:</w:t>
      </w:r>
    </w:p>
    <w:p w:rsidR="00827CB3" w:rsidRPr="009E3927" w:rsidRDefault="00827CB3" w:rsidP="009E3927">
      <w:pPr>
        <w:pStyle w:val="Odstavekseznama"/>
        <w:numPr>
          <w:ilvl w:val="0"/>
          <w:numId w:val="1"/>
        </w:numPr>
        <w:jc w:val="both"/>
        <w:rPr>
          <w:rFonts w:ascii="Arial" w:hAnsi="Arial" w:cs="Arial"/>
          <w:sz w:val="20"/>
          <w:szCs w:val="20"/>
        </w:rPr>
      </w:pPr>
      <w:r w:rsidRPr="009E3927">
        <w:rPr>
          <w:rFonts w:ascii="Arial" w:hAnsi="Arial" w:cs="Arial"/>
          <w:sz w:val="20"/>
          <w:szCs w:val="20"/>
        </w:rPr>
        <w:t>Poročilo Evropskega računskega sodišča:</w:t>
      </w:r>
    </w:p>
    <w:p w:rsidR="00827CB3" w:rsidRPr="009E3927" w:rsidRDefault="00B3237A" w:rsidP="009E3927">
      <w:pPr>
        <w:pStyle w:val="Odstavekseznama"/>
        <w:numPr>
          <w:ilvl w:val="0"/>
          <w:numId w:val="1"/>
        </w:numPr>
        <w:jc w:val="both"/>
        <w:rPr>
          <w:rFonts w:ascii="Arial" w:hAnsi="Arial" w:cs="Arial"/>
          <w:sz w:val="20"/>
          <w:szCs w:val="20"/>
        </w:rPr>
      </w:pPr>
      <w:hyperlink r:id="rId6" w:history="1">
        <w:r w:rsidRPr="009E3927">
          <w:rPr>
            <w:rStyle w:val="Hiperpovezava"/>
            <w:rFonts w:ascii="Arial" w:hAnsi="Arial" w:cs="Arial"/>
            <w:sz w:val="20"/>
            <w:szCs w:val="20"/>
          </w:rPr>
          <w:t>https://www.eca.europa.eu/sl/Pages/DocItem.aspx?did=63659</w:t>
        </w:r>
      </w:hyperlink>
    </w:p>
    <w:p w:rsidR="00B3237A" w:rsidRPr="009E3927" w:rsidRDefault="00B3237A" w:rsidP="009E3927">
      <w:pPr>
        <w:spacing w:after="0"/>
        <w:jc w:val="both"/>
        <w:rPr>
          <w:rFonts w:ascii="Arial" w:hAnsi="Arial" w:cs="Arial"/>
          <w:sz w:val="20"/>
          <w:szCs w:val="20"/>
        </w:rPr>
      </w:pPr>
      <w:r w:rsidRPr="009E3927">
        <w:rPr>
          <w:rFonts w:ascii="Arial" w:hAnsi="Arial" w:cs="Arial"/>
          <w:sz w:val="20"/>
          <w:szCs w:val="20"/>
        </w:rPr>
        <w:t>Pripravila:</w:t>
      </w:r>
    </w:p>
    <w:p w:rsidR="00B3237A" w:rsidRPr="009E3927" w:rsidRDefault="00B3237A" w:rsidP="009E3927">
      <w:pPr>
        <w:spacing w:after="0"/>
        <w:jc w:val="both"/>
        <w:rPr>
          <w:rFonts w:ascii="Arial" w:hAnsi="Arial" w:cs="Arial"/>
          <w:sz w:val="20"/>
          <w:szCs w:val="20"/>
        </w:rPr>
      </w:pPr>
      <w:r w:rsidRPr="009E3927">
        <w:rPr>
          <w:rFonts w:ascii="Arial" w:hAnsi="Arial" w:cs="Arial"/>
          <w:sz w:val="20"/>
          <w:szCs w:val="20"/>
        </w:rPr>
        <w:t>Darja Kocbek</w:t>
      </w:r>
    </w:p>
    <w:sectPr w:rsidR="00B3237A" w:rsidRPr="009E3927" w:rsidSect="00F614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C1B15"/>
    <w:multiLevelType w:val="hybridMultilevel"/>
    <w:tmpl w:val="31B441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7CB3"/>
    <w:rsid w:val="00827CB3"/>
    <w:rsid w:val="009E3927"/>
    <w:rsid w:val="00B3237A"/>
    <w:rsid w:val="00F6143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1433"/>
  </w:style>
  <w:style w:type="paragraph" w:styleId="Naslov2">
    <w:name w:val="heading 2"/>
    <w:basedOn w:val="Navaden"/>
    <w:link w:val="Naslov2Znak"/>
    <w:uiPriority w:val="9"/>
    <w:qFormat/>
    <w:rsid w:val="009E392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27CB3"/>
    <w:rPr>
      <w:b/>
      <w:bCs/>
    </w:rPr>
  </w:style>
  <w:style w:type="character" w:styleId="Hiperpovezava">
    <w:name w:val="Hyperlink"/>
    <w:basedOn w:val="Privzetapisavaodstavka"/>
    <w:uiPriority w:val="99"/>
    <w:unhideWhenUsed/>
    <w:rsid w:val="00B3237A"/>
    <w:rPr>
      <w:color w:val="0000FF" w:themeColor="hyperlink"/>
      <w:u w:val="single"/>
    </w:rPr>
  </w:style>
  <w:style w:type="paragraph" w:styleId="Odstavekseznama">
    <w:name w:val="List Paragraph"/>
    <w:basedOn w:val="Navaden"/>
    <w:uiPriority w:val="34"/>
    <w:qFormat/>
    <w:rsid w:val="009E3927"/>
    <w:pPr>
      <w:ind w:left="720"/>
      <w:contextualSpacing/>
    </w:pPr>
  </w:style>
  <w:style w:type="character" w:customStyle="1" w:styleId="Naslov2Znak">
    <w:name w:val="Naslov 2 Znak"/>
    <w:basedOn w:val="Privzetapisavaodstavka"/>
    <w:link w:val="Naslov2"/>
    <w:uiPriority w:val="9"/>
    <w:rsid w:val="009E392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E392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3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6365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1773</Characters>
  <Application>Microsoft Office Word</Application>
  <DocSecurity>0</DocSecurity>
  <Lines>14</Lines>
  <Paragraphs>4</Paragraphs>
  <ScaleCrop>false</ScaleCrop>
  <Company>HP</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2023-03-28T09:33:00Z</dcterms:created>
  <dcterms:modified xsi:type="dcterms:W3CDTF">2023-03-28T09:40:00Z</dcterms:modified>
</cp:coreProperties>
</file>