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403" w:rsidRDefault="00D06403" w:rsidP="00D06403">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06403" w:rsidRDefault="00D06403" w:rsidP="00D06403">
      <w:pPr>
        <w:pStyle w:val="Naslov2"/>
        <w:tabs>
          <w:tab w:val="left" w:pos="3120"/>
        </w:tabs>
        <w:jc w:val="center"/>
        <w:rPr>
          <w:b w:val="0"/>
          <w:bCs w:val="0"/>
          <w:i/>
          <w:iCs/>
          <w:sz w:val="22"/>
        </w:rPr>
      </w:pPr>
      <w:r>
        <w:rPr>
          <w:b w:val="0"/>
          <w:bCs w:val="0"/>
          <w:sz w:val="22"/>
        </w:rPr>
        <w:t>Slovensko gospodarsko in raziskovalno združenje, Bruselj</w:t>
      </w:r>
    </w:p>
    <w:p w:rsidR="00D06403" w:rsidRDefault="00D06403" w:rsidP="00D06403">
      <w:pPr>
        <w:pBdr>
          <w:bottom w:val="single" w:sz="6" w:space="1" w:color="auto"/>
        </w:pBdr>
        <w:tabs>
          <w:tab w:val="left" w:pos="3120"/>
        </w:tabs>
        <w:jc w:val="center"/>
        <w:rPr>
          <w:sz w:val="16"/>
          <w:szCs w:val="16"/>
        </w:rPr>
      </w:pPr>
    </w:p>
    <w:p w:rsidR="00D06403" w:rsidRPr="002854F0" w:rsidRDefault="00D06403" w:rsidP="00D06403">
      <w:pPr>
        <w:tabs>
          <w:tab w:val="left" w:pos="3120"/>
        </w:tabs>
        <w:jc w:val="center"/>
        <w:rPr>
          <w:rFonts w:ascii="Arial" w:hAnsi="Arial" w:cs="Arial"/>
          <w:b/>
        </w:rPr>
      </w:pPr>
    </w:p>
    <w:p w:rsidR="00D06403" w:rsidRPr="002854F0" w:rsidRDefault="00D06403" w:rsidP="00D06403">
      <w:pPr>
        <w:tabs>
          <w:tab w:val="left" w:pos="3120"/>
        </w:tabs>
        <w:jc w:val="center"/>
        <w:rPr>
          <w:rFonts w:ascii="Arial" w:hAnsi="Arial" w:cs="Arial"/>
          <w:b/>
        </w:rPr>
      </w:pPr>
      <w:r>
        <w:rPr>
          <w:rFonts w:ascii="Arial" w:hAnsi="Arial" w:cs="Arial"/>
          <w:b/>
        </w:rPr>
        <w:t>Občasna informacija članom 57</w:t>
      </w:r>
      <w:r w:rsidRPr="002854F0">
        <w:rPr>
          <w:rFonts w:ascii="Arial" w:hAnsi="Arial" w:cs="Arial"/>
          <w:b/>
        </w:rPr>
        <w:t xml:space="preserve"> – 2017</w:t>
      </w:r>
    </w:p>
    <w:p w:rsidR="00D06403" w:rsidRPr="00E4076C" w:rsidRDefault="00D06403" w:rsidP="00D06403">
      <w:pPr>
        <w:tabs>
          <w:tab w:val="left" w:pos="3120"/>
        </w:tabs>
        <w:jc w:val="center"/>
        <w:rPr>
          <w:rFonts w:ascii="Arial" w:hAnsi="Arial" w:cs="Arial"/>
          <w:b/>
        </w:rPr>
      </w:pPr>
      <w:r>
        <w:rPr>
          <w:rFonts w:ascii="Arial" w:hAnsi="Arial" w:cs="Arial"/>
          <w:b/>
        </w:rPr>
        <w:t>10</w:t>
      </w:r>
      <w:r w:rsidRPr="002854F0">
        <w:rPr>
          <w:rFonts w:ascii="Arial" w:hAnsi="Arial" w:cs="Arial"/>
          <w:b/>
        </w:rPr>
        <w:t xml:space="preserve">. </w:t>
      </w:r>
      <w:r>
        <w:rPr>
          <w:rFonts w:ascii="Arial" w:hAnsi="Arial" w:cs="Arial"/>
          <w:b/>
        </w:rPr>
        <w:t>april</w:t>
      </w:r>
      <w:r w:rsidRPr="002854F0">
        <w:rPr>
          <w:rFonts w:ascii="Arial" w:hAnsi="Arial" w:cs="Arial"/>
          <w:b/>
        </w:rPr>
        <w:t xml:space="preserve"> 2017</w:t>
      </w:r>
    </w:p>
    <w:p w:rsidR="00D06403" w:rsidRDefault="00D06403" w:rsidP="00D06403">
      <w:pPr>
        <w:jc w:val="center"/>
        <w:rPr>
          <w:rFonts w:ascii="Arial" w:hAnsi="Arial" w:cs="Arial"/>
          <w:b/>
          <w:i/>
        </w:rPr>
      </w:pPr>
      <w:r>
        <w:rPr>
          <w:rFonts w:ascii="Arial" w:hAnsi="Arial" w:cs="Arial"/>
          <w:b/>
          <w:color w:val="993300"/>
          <w:sz w:val="32"/>
          <w:szCs w:val="32"/>
        </w:rPr>
        <w:t>Poročilo, kako so države izpolnile predpogoje za prejem sredstev iz evropskih strukturnih in investicijskih skladov</w:t>
      </w:r>
    </w:p>
    <w:p w:rsidR="005855E7" w:rsidRPr="00C02520" w:rsidRDefault="005855E7" w:rsidP="00C02520">
      <w:pPr>
        <w:rPr>
          <w:rFonts w:ascii="Arial" w:hAnsi="Arial" w:cs="Arial"/>
          <w:b/>
          <w:i/>
        </w:rPr>
      </w:pPr>
      <w:r w:rsidRPr="00C02520">
        <w:rPr>
          <w:rFonts w:ascii="Arial" w:hAnsi="Arial" w:cs="Arial"/>
          <w:b/>
          <w:i/>
        </w:rPr>
        <w:t xml:space="preserve">Eden ključnih elementov reforme kohezijske politike za obdobje 2014–2020 je bila uvedba predpogojev, ki jih morajo države članice izpolniti, da prejmejo sredstva iz evropskih strukturnih in investicijskih skladov. Evropska komisija ugotavlja, da predpogoji spodbujajo države članice in regije k izvajanju reform, ki bi bile drugače odložene ali se morda ne bi izvedle. Za Slovenijo med drugim navaja, da je uvedla test, kako zakonodaja vpliva na majhna in  srednja podjetja, strategija razvoja prometa je prva celovita nacionalna strategija, ki zajema </w:t>
      </w:r>
      <w:r w:rsidR="00C02520" w:rsidRPr="00C02520">
        <w:rPr>
          <w:rFonts w:ascii="Arial" w:hAnsi="Arial" w:cs="Arial"/>
          <w:b/>
          <w:i/>
        </w:rPr>
        <w:t>vse oblike prometa, vzpostavlje</w:t>
      </w:r>
      <w:r w:rsidRPr="00C02520">
        <w:rPr>
          <w:rFonts w:ascii="Arial" w:hAnsi="Arial" w:cs="Arial"/>
          <w:b/>
          <w:i/>
        </w:rPr>
        <w:t xml:space="preserve">na so bila partnerstva za inovacije. </w:t>
      </w:r>
    </w:p>
    <w:p w:rsidR="005855E7" w:rsidRPr="00C02520" w:rsidRDefault="005855E7" w:rsidP="00C02520">
      <w:pPr>
        <w:rPr>
          <w:rFonts w:ascii="Arial" w:hAnsi="Arial" w:cs="Arial"/>
          <w:sz w:val="20"/>
          <w:szCs w:val="20"/>
        </w:rPr>
      </w:pPr>
      <w:r w:rsidRPr="00C02520">
        <w:rPr>
          <w:rFonts w:ascii="Arial" w:hAnsi="Arial" w:cs="Arial"/>
          <w:sz w:val="20"/>
          <w:szCs w:val="20"/>
        </w:rPr>
        <w:t xml:space="preserve">Predpogoji za uspešne naložbe (oziroma predhodne pogojenosti) zajemajo najrazličnejše sektorje, med drugim skladnost z zahtevami energetske učinkovitosti, inovacije, digitalno načrtovanje in reforme izobraževanja. Pripomogli so k okrepitvi institucionalne ureditve, uvedbi preglednih postopkov na področju javnih naročil ali od držav članic zahtevali izboljšanje in poenostavitev </w:t>
      </w:r>
      <w:proofErr w:type="spellStart"/>
      <w:r w:rsidRPr="00C02520">
        <w:rPr>
          <w:rFonts w:ascii="Arial" w:hAnsi="Arial" w:cs="Arial"/>
          <w:sz w:val="20"/>
          <w:szCs w:val="20"/>
        </w:rPr>
        <w:t>regulativnega</w:t>
      </w:r>
      <w:proofErr w:type="spellEnd"/>
      <w:r w:rsidRPr="00C02520">
        <w:rPr>
          <w:rFonts w:ascii="Arial" w:hAnsi="Arial" w:cs="Arial"/>
          <w:sz w:val="20"/>
          <w:szCs w:val="20"/>
        </w:rPr>
        <w:t xml:space="preserve"> in političnega okolja za mala podjetja. </w:t>
      </w:r>
    </w:p>
    <w:p w:rsidR="00C02520" w:rsidRPr="00C02520" w:rsidRDefault="005855E7" w:rsidP="00C02520">
      <w:pPr>
        <w:rPr>
          <w:rFonts w:ascii="Arial" w:hAnsi="Arial" w:cs="Arial"/>
          <w:sz w:val="20"/>
          <w:szCs w:val="20"/>
        </w:rPr>
      </w:pPr>
      <w:r w:rsidRPr="00C02520">
        <w:rPr>
          <w:rFonts w:ascii="Arial" w:hAnsi="Arial" w:cs="Arial"/>
          <w:sz w:val="20"/>
          <w:szCs w:val="20"/>
        </w:rPr>
        <w:t>Vse države članice so do zdaj izpolnile 86 odstotkov vseh predpogojev. Države članice morajo Evropski komisiji do poletja 2017 poročati o izpolnitvi preostalih predpogojev. Komisija bo v razpravi o kohezijski politiki po letu 2020 upoštevala predvsem vprašanja o tem, kako zagotoviti izpolnjevanje predpogojev v celotnem finančnem obdobju in ali jih je treba bolj prilagoditi potrebam držav in regij.</w:t>
      </w:r>
    </w:p>
    <w:p w:rsidR="00C02520" w:rsidRPr="00C02520" w:rsidRDefault="00C02520" w:rsidP="00C02520">
      <w:pPr>
        <w:rPr>
          <w:rFonts w:ascii="Arial" w:hAnsi="Arial" w:cs="Arial"/>
          <w:b/>
          <w:sz w:val="20"/>
          <w:szCs w:val="20"/>
        </w:rPr>
      </w:pPr>
      <w:r w:rsidRPr="00C02520">
        <w:rPr>
          <w:rFonts w:ascii="Arial" w:hAnsi="Arial" w:cs="Arial"/>
          <w:b/>
          <w:sz w:val="20"/>
          <w:szCs w:val="20"/>
        </w:rPr>
        <w:t>Koristne informacije:</w:t>
      </w:r>
    </w:p>
    <w:p w:rsidR="00C02520" w:rsidRPr="00C02520" w:rsidRDefault="00C02520" w:rsidP="00C02520">
      <w:pPr>
        <w:pStyle w:val="Odstavekseznama"/>
        <w:numPr>
          <w:ilvl w:val="0"/>
          <w:numId w:val="2"/>
        </w:numPr>
        <w:rPr>
          <w:rFonts w:ascii="Arial" w:hAnsi="Arial" w:cs="Arial"/>
          <w:sz w:val="20"/>
          <w:szCs w:val="20"/>
        </w:rPr>
      </w:pPr>
      <w:r w:rsidRPr="00C02520">
        <w:rPr>
          <w:rFonts w:ascii="Arial" w:hAnsi="Arial" w:cs="Arial"/>
          <w:sz w:val="20"/>
          <w:szCs w:val="20"/>
        </w:rPr>
        <w:t>Poročilo Evropske komisije:</w:t>
      </w:r>
    </w:p>
    <w:p w:rsidR="00C02520" w:rsidRPr="00C02520" w:rsidRDefault="00C02520" w:rsidP="00C02520">
      <w:pPr>
        <w:pStyle w:val="Odstavekseznama"/>
        <w:numPr>
          <w:ilvl w:val="0"/>
          <w:numId w:val="2"/>
        </w:numPr>
        <w:rPr>
          <w:rFonts w:ascii="Arial" w:hAnsi="Arial" w:cs="Arial"/>
          <w:sz w:val="20"/>
          <w:szCs w:val="20"/>
        </w:rPr>
      </w:pPr>
      <w:hyperlink r:id="rId6" w:history="1">
        <w:r w:rsidRPr="00C02520">
          <w:rPr>
            <w:rStyle w:val="Hiperpovezava"/>
            <w:rFonts w:ascii="Arial" w:hAnsi="Arial" w:cs="Arial"/>
            <w:sz w:val="20"/>
            <w:szCs w:val="20"/>
          </w:rPr>
          <w:t>http://ec.europa.eu/regional_policy/sources/docgener/studies/pdf/value_added_exac_esif_en.pdf</w:t>
        </w:r>
      </w:hyperlink>
    </w:p>
    <w:p w:rsidR="00C02520" w:rsidRPr="00C02520" w:rsidRDefault="00C02520" w:rsidP="00C02520">
      <w:pPr>
        <w:pStyle w:val="Odstavekseznama"/>
        <w:numPr>
          <w:ilvl w:val="0"/>
          <w:numId w:val="2"/>
        </w:numPr>
        <w:rPr>
          <w:rFonts w:ascii="Arial" w:hAnsi="Arial" w:cs="Arial"/>
          <w:sz w:val="20"/>
          <w:szCs w:val="20"/>
        </w:rPr>
      </w:pPr>
      <w:r w:rsidRPr="00C02520">
        <w:rPr>
          <w:rFonts w:ascii="Arial" w:hAnsi="Arial" w:cs="Arial"/>
          <w:sz w:val="20"/>
          <w:szCs w:val="20"/>
        </w:rPr>
        <w:t>Spletna stran z informacijami o predhodnih pogojih:</w:t>
      </w:r>
    </w:p>
    <w:p w:rsidR="00C02520" w:rsidRPr="00C02520" w:rsidRDefault="00C02520" w:rsidP="00C02520">
      <w:pPr>
        <w:pStyle w:val="Odstavekseznama"/>
        <w:numPr>
          <w:ilvl w:val="0"/>
          <w:numId w:val="2"/>
        </w:numPr>
        <w:rPr>
          <w:rFonts w:ascii="Arial" w:hAnsi="Arial" w:cs="Arial"/>
          <w:sz w:val="20"/>
          <w:szCs w:val="20"/>
        </w:rPr>
      </w:pPr>
      <w:hyperlink r:id="rId7" w:history="1">
        <w:r w:rsidRPr="00C02520">
          <w:rPr>
            <w:rStyle w:val="Hiperpovezava"/>
            <w:rFonts w:ascii="Arial" w:hAnsi="Arial" w:cs="Arial"/>
            <w:sz w:val="20"/>
            <w:szCs w:val="20"/>
          </w:rPr>
          <w:t>http://ec.europa.eu/regional_policy/sl/policy/what/glossary/e/ex-ante-conditionalities</w:t>
        </w:r>
      </w:hyperlink>
    </w:p>
    <w:p w:rsidR="00C02520" w:rsidRPr="00C02520" w:rsidRDefault="00C02520" w:rsidP="00C02520">
      <w:pPr>
        <w:rPr>
          <w:rFonts w:ascii="Arial" w:hAnsi="Arial" w:cs="Arial"/>
          <w:sz w:val="20"/>
          <w:szCs w:val="20"/>
        </w:rPr>
      </w:pPr>
      <w:r w:rsidRPr="00C02520">
        <w:rPr>
          <w:rFonts w:ascii="Arial" w:hAnsi="Arial" w:cs="Arial"/>
          <w:sz w:val="20"/>
          <w:szCs w:val="20"/>
        </w:rPr>
        <w:t>Pripravila:</w:t>
      </w:r>
    </w:p>
    <w:p w:rsidR="005855E7" w:rsidRPr="00C02520" w:rsidRDefault="00C02520" w:rsidP="00C02520">
      <w:pPr>
        <w:rPr>
          <w:rFonts w:ascii="Arial" w:hAnsi="Arial" w:cs="Arial"/>
          <w:sz w:val="20"/>
          <w:szCs w:val="20"/>
        </w:rPr>
      </w:pPr>
      <w:r w:rsidRPr="00C02520">
        <w:rPr>
          <w:rFonts w:ascii="Arial" w:hAnsi="Arial" w:cs="Arial"/>
          <w:sz w:val="20"/>
          <w:szCs w:val="20"/>
        </w:rPr>
        <w:t>Darja Kocbek</w:t>
      </w:r>
      <w:r w:rsidR="005855E7" w:rsidRPr="00C02520">
        <w:rPr>
          <w:rFonts w:ascii="Arial" w:hAnsi="Arial" w:cs="Arial"/>
          <w:sz w:val="20"/>
          <w:szCs w:val="20"/>
        </w:rPr>
        <w:t xml:space="preserve"> </w:t>
      </w:r>
    </w:p>
    <w:p w:rsidR="005855E7" w:rsidRDefault="005855E7" w:rsidP="005855E7">
      <w:pPr>
        <w:pStyle w:val="yiv0792704535msonormal"/>
      </w:pP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E19F1"/>
    <w:multiLevelType w:val="hybridMultilevel"/>
    <w:tmpl w:val="C2D28E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A4721CE"/>
    <w:multiLevelType w:val="hybridMultilevel"/>
    <w:tmpl w:val="30660F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55E7"/>
    <w:rsid w:val="005855E7"/>
    <w:rsid w:val="00B459D4"/>
    <w:rsid w:val="00B7769B"/>
    <w:rsid w:val="00C02520"/>
    <w:rsid w:val="00D0640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D064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0792704535msonormal">
    <w:name w:val="yiv0792704535msonormal"/>
    <w:basedOn w:val="Navaden"/>
    <w:rsid w:val="005855E7"/>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855E7"/>
    <w:rPr>
      <w:color w:val="0000FF"/>
      <w:u w:val="single"/>
    </w:rPr>
  </w:style>
  <w:style w:type="paragraph" w:styleId="Odstavekseznama">
    <w:name w:val="List Paragraph"/>
    <w:basedOn w:val="Navaden"/>
    <w:uiPriority w:val="34"/>
    <w:qFormat/>
    <w:rsid w:val="00C02520"/>
    <w:pPr>
      <w:ind w:left="720"/>
      <w:contextualSpacing/>
    </w:pPr>
  </w:style>
  <w:style w:type="character" w:customStyle="1" w:styleId="Naslov2Znak">
    <w:name w:val="Naslov 2 Znak"/>
    <w:basedOn w:val="Privzetapisavaodstavka"/>
    <w:link w:val="Naslov2"/>
    <w:uiPriority w:val="9"/>
    <w:semiHidden/>
    <w:rsid w:val="00D0640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0640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064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210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regional_policy/sl/policy/what/glossary/e/ex-ante-conditiona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gional_policy/sources/docgener/studies/pdf/value_added_exac_esif_en.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329</Words>
  <Characters>1881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2017-04-04T15:50:00Z</dcterms:created>
  <dcterms:modified xsi:type="dcterms:W3CDTF">2017-04-04T16:07:00Z</dcterms:modified>
</cp:coreProperties>
</file>