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E" w:rsidRPr="00083714" w:rsidRDefault="00796AAE" w:rsidP="00796AA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AAE" w:rsidRDefault="00796AAE" w:rsidP="00796AA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96AAE" w:rsidRPr="00083714" w:rsidRDefault="00796AAE" w:rsidP="00796AA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96AAE" w:rsidRPr="00083714" w:rsidRDefault="00796AAE" w:rsidP="00796AA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96AAE" w:rsidRDefault="00796AAE" w:rsidP="00796AA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796AAE" w:rsidRPr="00050C1F" w:rsidRDefault="00796AAE" w:rsidP="00796AA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05.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F5BC2" w:rsidRDefault="00796AAE" w:rsidP="00796AA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Obetavno odkritje </w:t>
      </w:r>
      <w:r w:rsidR="00703253">
        <w:rPr>
          <w:b/>
          <w:color w:val="993300"/>
          <w:sz w:val="32"/>
          <w:szCs w:val="32"/>
        </w:rPr>
        <w:t xml:space="preserve">evropskih znanstvenikov </w:t>
      </w:r>
      <w:r>
        <w:rPr>
          <w:b/>
          <w:color w:val="993300"/>
          <w:sz w:val="32"/>
          <w:szCs w:val="32"/>
        </w:rPr>
        <w:t>za nevtralizacijo virusa  SARS-</w:t>
      </w:r>
      <w:proofErr w:type="spellStart"/>
      <w:r>
        <w:rPr>
          <w:b/>
          <w:color w:val="993300"/>
          <w:sz w:val="32"/>
          <w:szCs w:val="32"/>
        </w:rPr>
        <w:t>CoV</w:t>
      </w:r>
      <w:proofErr w:type="spellEnd"/>
      <w:r>
        <w:rPr>
          <w:b/>
          <w:color w:val="993300"/>
          <w:sz w:val="32"/>
          <w:szCs w:val="32"/>
        </w:rPr>
        <w:t>-2</w:t>
      </w:r>
    </w:p>
    <w:p w:rsidR="00841791" w:rsidRPr="000F5BC2" w:rsidRDefault="00841791" w:rsidP="000F5BC2">
      <w:pPr>
        <w:jc w:val="both"/>
        <w:rPr>
          <w:rFonts w:ascii="Arial" w:hAnsi="Arial" w:cs="Arial"/>
          <w:b/>
          <w:i/>
        </w:rPr>
      </w:pPr>
      <w:r w:rsidRPr="000F5BC2">
        <w:rPr>
          <w:rFonts w:ascii="Arial" w:hAnsi="Arial" w:cs="Arial"/>
          <w:b/>
          <w:i/>
        </w:rPr>
        <w:t>Raziskovalci Skupnega raziskovalnega središča (JRC) pri Evropski komisiji so skupaj s partnerji v projektu ATAC razvili  drugo generacijo »dvojnih protiteles«, ki so učinkovite pri nevtralizaciji virusa SARS-</w:t>
      </w:r>
      <w:proofErr w:type="spellStart"/>
      <w:r w:rsidRPr="000F5BC2">
        <w:rPr>
          <w:rFonts w:ascii="Arial" w:hAnsi="Arial" w:cs="Arial"/>
          <w:b/>
          <w:i/>
        </w:rPr>
        <w:t>CoV</w:t>
      </w:r>
      <w:proofErr w:type="spellEnd"/>
      <w:r w:rsidRPr="000F5BC2">
        <w:rPr>
          <w:rFonts w:ascii="Arial" w:hAnsi="Arial" w:cs="Arial"/>
          <w:b/>
          <w:i/>
        </w:rPr>
        <w:t xml:space="preserve">-2 in njegovih različic. Uporabna bi lahko bila tako za preprečevanje širjenja virusa kot tudi za zdravljenje bolezni </w:t>
      </w:r>
      <w:proofErr w:type="spellStart"/>
      <w:r w:rsidRPr="000F5BC2">
        <w:rPr>
          <w:rFonts w:ascii="Arial" w:hAnsi="Arial" w:cs="Arial"/>
          <w:b/>
          <w:i/>
        </w:rPr>
        <w:t>covid</w:t>
      </w:r>
      <w:proofErr w:type="spellEnd"/>
      <w:r w:rsidRPr="000F5BC2">
        <w:rPr>
          <w:rFonts w:ascii="Arial" w:hAnsi="Arial" w:cs="Arial"/>
          <w:b/>
          <w:i/>
        </w:rPr>
        <w:t>-19. Gre za združitev dveh protiteles v eno molekulo, ki napade virus na dveh mestih istočasno, zato ga lahko učinkoviteje nevtralizira in zavre njegovo širjenje.</w:t>
      </w:r>
    </w:p>
    <w:p w:rsidR="00FE1CAA" w:rsidRPr="000F5BC2" w:rsidRDefault="000F5BC2" w:rsidP="000F5BC2">
      <w:pPr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Prvi rezultati kažejo, da se to generacijo protiteles izplača klinično preskus</w:t>
      </w:r>
      <w:r>
        <w:rPr>
          <w:rFonts w:ascii="Arial" w:hAnsi="Arial" w:cs="Arial"/>
          <w:sz w:val="20"/>
          <w:szCs w:val="20"/>
        </w:rPr>
        <w:t>iti ter jo uporabiti, če se bo</w:t>
      </w:r>
      <w:r w:rsidRPr="000F5BC2">
        <w:rPr>
          <w:rFonts w:ascii="Arial" w:hAnsi="Arial" w:cs="Arial"/>
          <w:sz w:val="20"/>
          <w:szCs w:val="20"/>
        </w:rPr>
        <w:t xml:space="preserve"> izkazala, da je varna in učinkovita. JRC je v projektu prispeval kakovostno infrastrukturo z laboratorijem za </w:t>
      </w:r>
      <w:proofErr w:type="spellStart"/>
      <w:r w:rsidRPr="000F5BC2">
        <w:rPr>
          <w:rFonts w:ascii="Arial" w:hAnsi="Arial" w:cs="Arial"/>
          <w:sz w:val="20"/>
          <w:szCs w:val="20"/>
        </w:rPr>
        <w:t>nanobiotehnologijo</w:t>
      </w:r>
      <w:proofErr w:type="spellEnd"/>
      <w:r w:rsidRPr="000F5BC2">
        <w:rPr>
          <w:rFonts w:ascii="Arial" w:hAnsi="Arial" w:cs="Arial"/>
          <w:sz w:val="20"/>
          <w:szCs w:val="20"/>
        </w:rPr>
        <w:t>.</w:t>
      </w:r>
    </w:p>
    <w:p w:rsidR="000F5BC2" w:rsidRPr="000F5BC2" w:rsidRDefault="000F5BC2" w:rsidP="000F5BC2">
      <w:pPr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Projekt ATAC Evropska komisija financira s sredstvi prejšnjega programa za znanost in raziskave Obzorje 2020. Pomembno je bilo tudi sodelovanje univerze Rockefeller in Češke akademije znanosti.</w:t>
      </w:r>
    </w:p>
    <w:p w:rsidR="000F5BC2" w:rsidRPr="000F5BC2" w:rsidRDefault="000F5BC2" w:rsidP="000F5BC2">
      <w:pPr>
        <w:jc w:val="both"/>
        <w:rPr>
          <w:rFonts w:ascii="Arial" w:hAnsi="Arial" w:cs="Arial"/>
          <w:b/>
          <w:sz w:val="20"/>
          <w:szCs w:val="20"/>
        </w:rPr>
      </w:pPr>
      <w:r w:rsidRPr="000F5BC2">
        <w:rPr>
          <w:rFonts w:ascii="Arial" w:hAnsi="Arial" w:cs="Arial"/>
          <w:b/>
          <w:sz w:val="20"/>
          <w:szCs w:val="20"/>
        </w:rPr>
        <w:t>Koristne informacije:</w:t>
      </w:r>
    </w:p>
    <w:p w:rsidR="000F5BC2" w:rsidRPr="000F5BC2" w:rsidRDefault="000F5BC2" w:rsidP="000F5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Spletna stran projekta ATAC:</w:t>
      </w:r>
    </w:p>
    <w:p w:rsidR="000F5BC2" w:rsidRPr="000F5BC2" w:rsidRDefault="000F5BC2" w:rsidP="000F5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F5BC2">
          <w:rPr>
            <w:rStyle w:val="Hiperpovezava"/>
            <w:rFonts w:ascii="Arial" w:hAnsi="Arial" w:cs="Arial"/>
            <w:sz w:val="20"/>
            <w:szCs w:val="20"/>
          </w:rPr>
          <w:t>https://covidantibodytherapy.info/</w:t>
        </w:r>
      </w:hyperlink>
    </w:p>
    <w:p w:rsidR="000F5BC2" w:rsidRPr="000F5BC2" w:rsidRDefault="000F5BC2" w:rsidP="000F5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Sporočilo JRC o odkritju:</w:t>
      </w:r>
    </w:p>
    <w:p w:rsidR="000F5BC2" w:rsidRPr="000F5BC2" w:rsidRDefault="000F5BC2" w:rsidP="000F5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F5BC2">
          <w:rPr>
            <w:rStyle w:val="Hiperpovezava"/>
            <w:rFonts w:ascii="Arial" w:hAnsi="Arial" w:cs="Arial"/>
            <w:sz w:val="20"/>
            <w:szCs w:val="20"/>
          </w:rPr>
          <w:t>https://ec.europa.eu/jrc/en/news/double-antibody-potential-new-treatment-against-sars-cov-2</w:t>
        </w:r>
      </w:hyperlink>
      <w:r w:rsidRPr="000F5BC2">
        <w:rPr>
          <w:rFonts w:ascii="Arial" w:hAnsi="Arial" w:cs="Arial"/>
          <w:sz w:val="20"/>
          <w:szCs w:val="20"/>
        </w:rPr>
        <w:t xml:space="preserve"> </w:t>
      </w:r>
    </w:p>
    <w:p w:rsidR="000F5BC2" w:rsidRPr="000F5BC2" w:rsidRDefault="000F5BC2" w:rsidP="000F5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Pripravila:</w:t>
      </w:r>
    </w:p>
    <w:p w:rsidR="000F5BC2" w:rsidRPr="000F5BC2" w:rsidRDefault="000F5BC2" w:rsidP="000F5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5BC2">
        <w:rPr>
          <w:rFonts w:ascii="Arial" w:hAnsi="Arial" w:cs="Arial"/>
          <w:sz w:val="20"/>
          <w:szCs w:val="20"/>
        </w:rPr>
        <w:t>Darja Kocbek</w:t>
      </w:r>
    </w:p>
    <w:sectPr w:rsidR="000F5BC2" w:rsidRPr="000F5BC2" w:rsidSect="00FE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A01B2"/>
    <w:multiLevelType w:val="hybridMultilevel"/>
    <w:tmpl w:val="5552AD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791"/>
    <w:rsid w:val="000F5BC2"/>
    <w:rsid w:val="00703253"/>
    <w:rsid w:val="00796AAE"/>
    <w:rsid w:val="00841791"/>
    <w:rsid w:val="00FE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CA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6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BC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F5BC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96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6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jrc/en/news/double-antibody-potential-new-treatment-against-sars-cov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antibodytherapy.inf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Company>HP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2021-04-01T12:20:00Z</dcterms:created>
  <dcterms:modified xsi:type="dcterms:W3CDTF">2021-04-01T12:39:00Z</dcterms:modified>
</cp:coreProperties>
</file>