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83B" w:rsidRPr="00083714" w:rsidRDefault="0096283B" w:rsidP="0096283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6283B" w:rsidRPr="00083714" w:rsidRDefault="0096283B" w:rsidP="0096283B">
      <w:pPr>
        <w:pStyle w:val="Naslov2"/>
        <w:tabs>
          <w:tab w:val="left" w:pos="3120"/>
        </w:tabs>
        <w:spacing w:before="240"/>
        <w:jc w:val="center"/>
        <w:rPr>
          <w:b w:val="0"/>
          <w:bCs w:val="0"/>
          <w:i/>
          <w:iCs/>
          <w:sz w:val="22"/>
        </w:rPr>
      </w:pPr>
      <w:r w:rsidRPr="00083714">
        <w:rPr>
          <w:sz w:val="22"/>
        </w:rPr>
        <w:t>Slovensko gospodarsko in raziskovalno združenje, Bruselj</w:t>
      </w:r>
    </w:p>
    <w:p w:rsidR="0096283B" w:rsidRPr="00083714" w:rsidRDefault="0096283B" w:rsidP="0096283B">
      <w:pPr>
        <w:pBdr>
          <w:bottom w:val="single" w:sz="6" w:space="1" w:color="auto"/>
        </w:pBdr>
        <w:tabs>
          <w:tab w:val="left" w:pos="3120"/>
        </w:tabs>
        <w:spacing w:before="240"/>
        <w:jc w:val="center"/>
        <w:rPr>
          <w:sz w:val="16"/>
          <w:szCs w:val="16"/>
        </w:rPr>
      </w:pPr>
    </w:p>
    <w:p w:rsidR="0096283B" w:rsidRDefault="0096283B" w:rsidP="0096283B">
      <w:pPr>
        <w:tabs>
          <w:tab w:val="left" w:pos="3120"/>
        </w:tabs>
        <w:spacing w:before="240"/>
        <w:rPr>
          <w:b/>
        </w:rPr>
      </w:pPr>
      <w:r w:rsidRPr="00083714">
        <w:rPr>
          <w:b/>
        </w:rPr>
        <w:tab/>
      </w:r>
      <w:r>
        <w:rPr>
          <w:b/>
        </w:rPr>
        <w:t>Občasna informacija članom 5</w:t>
      </w:r>
      <w:r w:rsidR="00036A15">
        <w:rPr>
          <w:b/>
        </w:rPr>
        <w:t>6</w:t>
      </w:r>
      <w:r w:rsidRPr="00083714">
        <w:rPr>
          <w:b/>
        </w:rPr>
        <w:t xml:space="preserve"> – 20</w:t>
      </w:r>
      <w:r>
        <w:rPr>
          <w:b/>
        </w:rPr>
        <w:t>20</w:t>
      </w:r>
    </w:p>
    <w:p w:rsidR="0096283B" w:rsidRPr="00083714" w:rsidRDefault="0096283B" w:rsidP="0096283B">
      <w:pPr>
        <w:tabs>
          <w:tab w:val="left" w:pos="3120"/>
        </w:tabs>
        <w:spacing w:before="240"/>
        <w:jc w:val="center"/>
        <w:rPr>
          <w:b/>
        </w:rPr>
      </w:pPr>
      <w:r>
        <w:rPr>
          <w:b/>
        </w:rPr>
        <w:t xml:space="preserve">13. april </w:t>
      </w:r>
      <w:r w:rsidRPr="00083714">
        <w:rPr>
          <w:b/>
        </w:rPr>
        <w:t xml:space="preserve"> 20</w:t>
      </w:r>
      <w:r>
        <w:rPr>
          <w:b/>
        </w:rPr>
        <w:t>20</w:t>
      </w:r>
    </w:p>
    <w:p w:rsidR="0096283B" w:rsidRDefault="00036A15" w:rsidP="00036A15">
      <w:pPr>
        <w:jc w:val="center"/>
        <w:rPr>
          <w:rFonts w:ascii="Arial" w:hAnsi="Arial" w:cs="Arial"/>
          <w:b/>
          <w:i/>
        </w:rPr>
      </w:pPr>
      <w:r>
        <w:rPr>
          <w:b/>
          <w:color w:val="993300"/>
          <w:sz w:val="32"/>
          <w:szCs w:val="32"/>
        </w:rPr>
        <w:t>Za jamstva za zagotovitev likvidnosti malim in srednjim podjetjem je na voljo 1 milijarda evrov</w:t>
      </w:r>
    </w:p>
    <w:p w:rsidR="00D30F4E" w:rsidRPr="00354ADD" w:rsidRDefault="007F7E06" w:rsidP="00354ADD">
      <w:pPr>
        <w:jc w:val="both"/>
        <w:rPr>
          <w:rFonts w:ascii="Arial" w:hAnsi="Arial" w:cs="Arial"/>
          <w:b/>
          <w:i/>
        </w:rPr>
      </w:pPr>
      <w:r w:rsidRPr="00354ADD">
        <w:rPr>
          <w:rFonts w:ascii="Arial" w:hAnsi="Arial" w:cs="Arial"/>
          <w:b/>
          <w:i/>
        </w:rPr>
        <w:t xml:space="preserve">Evropska komisija je sprostila 1 milijardo evrov iz Evropskega sklada za strateške naložbe (EFSI) za jamstva  bankam in drugih posojilodajalcev, da bodo lahko zagotovili likvidnost vsaj 100 000 evropskim malim in srednjim podjetjem ter malim podjetjem s srednje veliko tržno kapitalizacijo, ki jih je prizadel gospodarski učinek pandemije </w:t>
      </w:r>
      <w:proofErr w:type="spellStart"/>
      <w:r w:rsidRPr="00354ADD">
        <w:rPr>
          <w:rFonts w:ascii="Arial" w:hAnsi="Arial" w:cs="Arial"/>
          <w:b/>
          <w:i/>
        </w:rPr>
        <w:t>koronavirusa</w:t>
      </w:r>
      <w:proofErr w:type="spellEnd"/>
      <w:r w:rsidRPr="00354ADD">
        <w:rPr>
          <w:rFonts w:ascii="Arial" w:hAnsi="Arial" w:cs="Arial"/>
          <w:b/>
          <w:i/>
        </w:rPr>
        <w:t>. Prva sredstva naj bi bila prek lokalnih bank in drugih posojilodajalcev na voljo že aprila. Člani lahko dobijo podrobnejše informacije na SBRA.</w:t>
      </w:r>
    </w:p>
    <w:p w:rsidR="007F7E06" w:rsidRPr="00354ADD" w:rsidRDefault="007F7E06" w:rsidP="00354ADD">
      <w:pPr>
        <w:jc w:val="both"/>
        <w:rPr>
          <w:rFonts w:ascii="Arial" w:hAnsi="Arial" w:cs="Arial"/>
          <w:sz w:val="20"/>
          <w:szCs w:val="20"/>
        </w:rPr>
      </w:pPr>
      <w:r w:rsidRPr="00354ADD">
        <w:rPr>
          <w:rFonts w:ascii="Arial" w:hAnsi="Arial" w:cs="Arial"/>
          <w:sz w:val="20"/>
          <w:szCs w:val="20"/>
        </w:rPr>
        <w:t>Glavne značilnosti teh jamstev bodo: poenostavljen in hitrejši dostop do jamstva Evropskega investicijskega sklada (EIF) v okviru Evropske investicijske banke (EIB); višje kritje tveganja – do 80 odstotkov potencialnih izgub pri posameznih posojilih (standardna vrednost znaša 50 odstotkov); osredotočenost na posojila za obratni kapital po vsej EU in omogočanje prožnejših pogojev, vključno z odložitvijo, reprogramiranjem dolgov ali moratorijem na odplačevanje dolga.</w:t>
      </w:r>
    </w:p>
    <w:p w:rsidR="007F7E06" w:rsidRPr="00354ADD" w:rsidRDefault="00354ADD" w:rsidP="00354ADD">
      <w:pPr>
        <w:jc w:val="both"/>
        <w:rPr>
          <w:rFonts w:ascii="Arial" w:hAnsi="Arial" w:cs="Arial"/>
          <w:sz w:val="20"/>
          <w:szCs w:val="20"/>
        </w:rPr>
      </w:pPr>
      <w:r w:rsidRPr="00354ADD">
        <w:rPr>
          <w:rFonts w:ascii="Arial" w:hAnsi="Arial" w:cs="Arial"/>
          <w:sz w:val="20"/>
          <w:szCs w:val="20"/>
        </w:rPr>
        <w:t xml:space="preserve">Finančni posredniki z obstoječimi sporazumi EIF v okviru programov EU COSME in </w:t>
      </w:r>
      <w:proofErr w:type="spellStart"/>
      <w:r w:rsidRPr="00354ADD">
        <w:rPr>
          <w:rFonts w:ascii="Arial" w:hAnsi="Arial" w:cs="Arial"/>
          <w:sz w:val="20"/>
          <w:szCs w:val="20"/>
        </w:rPr>
        <w:t>InnovFin</w:t>
      </w:r>
      <w:proofErr w:type="spellEnd"/>
      <w:r w:rsidRPr="00354ADD">
        <w:rPr>
          <w:rFonts w:ascii="Arial" w:hAnsi="Arial" w:cs="Arial"/>
          <w:sz w:val="20"/>
          <w:szCs w:val="20"/>
        </w:rPr>
        <w:t xml:space="preserve"> lahko na podlagi razpisa za prijavo interesa nemudoma dostopajo do novih jamstev. Drugi finančni posredniki bodo dobili dostop do jamstev po hitrem postopku prijave. Mala in srednja podjetja lahko vložijo zahtevek neposredno pri svojih lokalnih bankah in posojilodajalcih, ki sodelujejo v shemi.  V Sloveniji jih je 23.</w:t>
      </w:r>
    </w:p>
    <w:p w:rsidR="00354ADD" w:rsidRPr="00354ADD" w:rsidRDefault="00354ADD" w:rsidP="00354ADD">
      <w:pPr>
        <w:jc w:val="both"/>
        <w:rPr>
          <w:rFonts w:ascii="Arial" w:hAnsi="Arial" w:cs="Arial"/>
          <w:b/>
          <w:sz w:val="20"/>
          <w:szCs w:val="20"/>
        </w:rPr>
      </w:pPr>
      <w:r w:rsidRPr="00354ADD">
        <w:rPr>
          <w:rFonts w:ascii="Arial" w:hAnsi="Arial" w:cs="Arial"/>
          <w:b/>
          <w:sz w:val="20"/>
          <w:szCs w:val="20"/>
        </w:rPr>
        <w:t>Koristne informacije:</w:t>
      </w:r>
    </w:p>
    <w:p w:rsidR="00354ADD" w:rsidRPr="00354ADD" w:rsidRDefault="00354ADD" w:rsidP="00354ADD">
      <w:pPr>
        <w:pStyle w:val="Odstavekseznama"/>
        <w:numPr>
          <w:ilvl w:val="0"/>
          <w:numId w:val="2"/>
        </w:numPr>
        <w:jc w:val="both"/>
        <w:rPr>
          <w:rFonts w:ascii="Arial" w:hAnsi="Arial" w:cs="Arial"/>
          <w:sz w:val="20"/>
          <w:szCs w:val="20"/>
        </w:rPr>
      </w:pPr>
      <w:r w:rsidRPr="00354ADD">
        <w:rPr>
          <w:rFonts w:ascii="Arial" w:hAnsi="Arial" w:cs="Arial"/>
          <w:sz w:val="20"/>
          <w:szCs w:val="20"/>
        </w:rPr>
        <w:t>Razpis za prijavo interesa za finančne posrednike za jamstveno shemo za posojila COSME:</w:t>
      </w:r>
    </w:p>
    <w:p w:rsidR="00354ADD" w:rsidRPr="00354ADD" w:rsidRDefault="00354ADD" w:rsidP="00354ADD">
      <w:pPr>
        <w:pStyle w:val="Odstavekseznama"/>
        <w:numPr>
          <w:ilvl w:val="0"/>
          <w:numId w:val="2"/>
        </w:numPr>
        <w:jc w:val="both"/>
        <w:rPr>
          <w:rFonts w:ascii="Arial" w:hAnsi="Arial" w:cs="Arial"/>
          <w:sz w:val="20"/>
          <w:szCs w:val="20"/>
        </w:rPr>
      </w:pPr>
      <w:hyperlink r:id="rId6" w:history="1">
        <w:r w:rsidRPr="00354ADD">
          <w:rPr>
            <w:rStyle w:val="Hiperpovezava"/>
            <w:rFonts w:ascii="Arial" w:hAnsi="Arial" w:cs="Arial"/>
            <w:sz w:val="20"/>
            <w:szCs w:val="20"/>
          </w:rPr>
          <w:t>https://www.eif.org/what_we_do/guarantees/single_eu_debt_instrument/cosme-loan-facility-growth/index.htm</w:t>
        </w:r>
      </w:hyperlink>
    </w:p>
    <w:p w:rsidR="00354ADD" w:rsidRPr="00354ADD" w:rsidRDefault="00354ADD" w:rsidP="00354ADD">
      <w:pPr>
        <w:pStyle w:val="Odstavekseznama"/>
        <w:numPr>
          <w:ilvl w:val="0"/>
          <w:numId w:val="2"/>
        </w:numPr>
        <w:jc w:val="both"/>
        <w:rPr>
          <w:rFonts w:ascii="Arial" w:hAnsi="Arial" w:cs="Arial"/>
          <w:sz w:val="20"/>
          <w:szCs w:val="20"/>
        </w:rPr>
      </w:pPr>
      <w:r w:rsidRPr="00354ADD">
        <w:rPr>
          <w:rFonts w:ascii="Arial" w:hAnsi="Arial" w:cs="Arial"/>
          <w:sz w:val="20"/>
          <w:szCs w:val="20"/>
        </w:rPr>
        <w:t xml:space="preserve">Razpis za prijavo interesa za finančne posrednike za jamstveno shemo </w:t>
      </w:r>
      <w:proofErr w:type="spellStart"/>
      <w:r w:rsidRPr="00354ADD">
        <w:rPr>
          <w:rFonts w:ascii="Arial" w:hAnsi="Arial" w:cs="Arial"/>
          <w:sz w:val="20"/>
          <w:szCs w:val="20"/>
        </w:rPr>
        <w:t>InnovFin</w:t>
      </w:r>
      <w:proofErr w:type="spellEnd"/>
      <w:r w:rsidRPr="00354ADD">
        <w:rPr>
          <w:rFonts w:ascii="Arial" w:hAnsi="Arial" w:cs="Arial"/>
          <w:sz w:val="20"/>
          <w:szCs w:val="20"/>
        </w:rPr>
        <w:t>:</w:t>
      </w:r>
    </w:p>
    <w:p w:rsidR="00354ADD" w:rsidRPr="00354ADD" w:rsidRDefault="00354ADD" w:rsidP="00354ADD">
      <w:pPr>
        <w:pStyle w:val="Odstavekseznama"/>
        <w:numPr>
          <w:ilvl w:val="0"/>
          <w:numId w:val="2"/>
        </w:numPr>
        <w:jc w:val="both"/>
        <w:rPr>
          <w:rFonts w:ascii="Arial" w:hAnsi="Arial" w:cs="Arial"/>
          <w:sz w:val="20"/>
          <w:szCs w:val="20"/>
        </w:rPr>
      </w:pPr>
      <w:hyperlink r:id="rId7" w:history="1">
        <w:r w:rsidRPr="00354ADD">
          <w:rPr>
            <w:rStyle w:val="Hiperpovezava"/>
            <w:rFonts w:ascii="Arial" w:hAnsi="Arial" w:cs="Arial"/>
            <w:sz w:val="20"/>
            <w:szCs w:val="20"/>
          </w:rPr>
          <w:t>https://www.eif.org/what_we_do/guarantees/single_eu_debt_instrument/innovfin-guarantee-facility/index.htm</w:t>
        </w:r>
      </w:hyperlink>
      <w:r w:rsidRPr="00354ADD">
        <w:rPr>
          <w:rFonts w:ascii="Arial" w:hAnsi="Arial" w:cs="Arial"/>
          <w:sz w:val="20"/>
          <w:szCs w:val="20"/>
        </w:rPr>
        <w:t xml:space="preserve"> </w:t>
      </w:r>
    </w:p>
    <w:p w:rsidR="00354ADD" w:rsidRPr="00354ADD" w:rsidRDefault="00354ADD" w:rsidP="00354ADD">
      <w:pPr>
        <w:pStyle w:val="Odstavekseznama"/>
        <w:numPr>
          <w:ilvl w:val="0"/>
          <w:numId w:val="2"/>
        </w:numPr>
        <w:jc w:val="both"/>
        <w:rPr>
          <w:rFonts w:ascii="Arial" w:hAnsi="Arial" w:cs="Arial"/>
          <w:sz w:val="20"/>
          <w:szCs w:val="20"/>
        </w:rPr>
      </w:pPr>
      <w:r w:rsidRPr="00354ADD">
        <w:rPr>
          <w:rFonts w:ascii="Arial" w:hAnsi="Arial" w:cs="Arial"/>
          <w:sz w:val="20"/>
          <w:szCs w:val="20"/>
        </w:rPr>
        <w:t>Spletna stran s podatki o bankah in posojilodajalcih v Sloveniji, ki sodelujejo v shemi:</w:t>
      </w:r>
    </w:p>
    <w:p w:rsidR="00354ADD" w:rsidRPr="00354ADD" w:rsidRDefault="00354ADD" w:rsidP="00354ADD">
      <w:pPr>
        <w:pStyle w:val="Odstavekseznama"/>
        <w:numPr>
          <w:ilvl w:val="0"/>
          <w:numId w:val="2"/>
        </w:numPr>
        <w:jc w:val="both"/>
        <w:rPr>
          <w:rFonts w:ascii="Arial" w:hAnsi="Arial" w:cs="Arial"/>
          <w:sz w:val="20"/>
          <w:szCs w:val="20"/>
        </w:rPr>
      </w:pPr>
      <w:hyperlink r:id="rId8" w:history="1">
        <w:r w:rsidRPr="00354ADD">
          <w:rPr>
            <w:rStyle w:val="Hiperpovezava"/>
            <w:rFonts w:ascii="Arial" w:hAnsi="Arial" w:cs="Arial"/>
            <w:sz w:val="20"/>
            <w:szCs w:val="20"/>
          </w:rPr>
          <w:t>https://europa.eu/youreurope/business/finance-funding/getting-funding/access-finance/search/en/financial-intermediaries?shs_term_node_tid_depth=1580</w:t>
        </w:r>
      </w:hyperlink>
    </w:p>
    <w:p w:rsidR="00354ADD" w:rsidRPr="00354ADD" w:rsidRDefault="00354ADD" w:rsidP="00354ADD">
      <w:pPr>
        <w:spacing w:after="0"/>
        <w:jc w:val="both"/>
        <w:rPr>
          <w:rFonts w:ascii="Arial" w:hAnsi="Arial" w:cs="Arial"/>
          <w:sz w:val="20"/>
          <w:szCs w:val="20"/>
        </w:rPr>
      </w:pPr>
      <w:r w:rsidRPr="00354ADD">
        <w:rPr>
          <w:rFonts w:ascii="Arial" w:hAnsi="Arial" w:cs="Arial"/>
          <w:sz w:val="20"/>
          <w:szCs w:val="20"/>
        </w:rPr>
        <w:t>Pripravila:</w:t>
      </w:r>
      <w:r w:rsidR="00036A15">
        <w:rPr>
          <w:rFonts w:ascii="Arial" w:hAnsi="Arial" w:cs="Arial"/>
          <w:sz w:val="20"/>
          <w:szCs w:val="20"/>
        </w:rPr>
        <w:t xml:space="preserve"> </w:t>
      </w:r>
      <w:r w:rsidRPr="00354ADD">
        <w:rPr>
          <w:rFonts w:ascii="Arial" w:hAnsi="Arial" w:cs="Arial"/>
          <w:sz w:val="20"/>
          <w:szCs w:val="20"/>
        </w:rPr>
        <w:t>Darja Kocbek</w:t>
      </w:r>
    </w:p>
    <w:p w:rsidR="007F7E06" w:rsidRDefault="007F7E06" w:rsidP="00354ADD">
      <w:pPr>
        <w:spacing w:after="0"/>
      </w:pPr>
    </w:p>
    <w:p w:rsidR="007F7E06" w:rsidRDefault="007F7E06"/>
    <w:sectPr w:rsidR="007F7E06" w:rsidSect="00D30F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C2F"/>
    <w:multiLevelType w:val="hybridMultilevel"/>
    <w:tmpl w:val="555E52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DF50DB1"/>
    <w:multiLevelType w:val="multilevel"/>
    <w:tmpl w:val="FFFA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7E06"/>
    <w:rsid w:val="00036A15"/>
    <w:rsid w:val="00354ADD"/>
    <w:rsid w:val="007F7E06"/>
    <w:rsid w:val="0096283B"/>
    <w:rsid w:val="00D30F4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0F4E"/>
  </w:style>
  <w:style w:type="paragraph" w:styleId="Naslov2">
    <w:name w:val="heading 2"/>
    <w:basedOn w:val="Navaden"/>
    <w:next w:val="Navaden"/>
    <w:link w:val="Naslov2Znak"/>
    <w:uiPriority w:val="9"/>
    <w:semiHidden/>
    <w:unhideWhenUsed/>
    <w:qFormat/>
    <w:rsid w:val="009628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F7E0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354ADD"/>
    <w:rPr>
      <w:color w:val="0000FF" w:themeColor="hyperlink"/>
      <w:u w:val="single"/>
    </w:rPr>
  </w:style>
  <w:style w:type="character" w:customStyle="1" w:styleId="prdnormal">
    <w:name w:val="prdnormal"/>
    <w:basedOn w:val="Privzetapisavaodstavka"/>
    <w:rsid w:val="00354ADD"/>
  </w:style>
  <w:style w:type="paragraph" w:styleId="Odstavekseznama">
    <w:name w:val="List Paragraph"/>
    <w:basedOn w:val="Navaden"/>
    <w:uiPriority w:val="34"/>
    <w:qFormat/>
    <w:rsid w:val="00354ADD"/>
    <w:pPr>
      <w:ind w:left="720"/>
      <w:contextualSpacing/>
    </w:pPr>
  </w:style>
  <w:style w:type="character" w:customStyle="1" w:styleId="Naslov2Znak">
    <w:name w:val="Naslov 2 Znak"/>
    <w:basedOn w:val="Privzetapisavaodstavka"/>
    <w:link w:val="Naslov2"/>
    <w:uiPriority w:val="9"/>
    <w:semiHidden/>
    <w:rsid w:val="0096283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628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28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44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a.eu/youreurope/business/finance-funding/getting-funding/access-finance/search/en/financial-intermediaries?shs_term_node_tid_depth=1580" TargetMode="External"/><Relationship Id="rId3" Type="http://schemas.openxmlformats.org/officeDocument/2006/relationships/settings" Target="settings.xml"/><Relationship Id="rId7" Type="http://schemas.openxmlformats.org/officeDocument/2006/relationships/hyperlink" Target="https://www.eif.org/what_we_do/guarantees/single_eu_debt_instrument/innovfin-guarantee-facility/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f.org/what_we_do/guarantees/single_eu_debt_instrument/cosme-loan-facility-growth/index.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396</Words>
  <Characters>2263</Characters>
  <Application>Microsoft Office Word</Application>
  <DocSecurity>0</DocSecurity>
  <Lines>18</Lines>
  <Paragraphs>5</Paragraphs>
  <ScaleCrop>false</ScaleCrop>
  <Company>HP</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2020-04-07T13:19:00Z</dcterms:created>
  <dcterms:modified xsi:type="dcterms:W3CDTF">2020-04-07T13:36:00Z</dcterms:modified>
</cp:coreProperties>
</file>