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21" w:rsidRPr="00083714" w:rsidRDefault="00443421" w:rsidP="0044342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421" w:rsidRDefault="00443421" w:rsidP="0044342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443421" w:rsidRPr="00083714" w:rsidRDefault="00443421" w:rsidP="00443421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43421" w:rsidRPr="00083714" w:rsidRDefault="00443421" w:rsidP="0044342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43421" w:rsidRDefault="00443421" w:rsidP="00443421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55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443421" w:rsidRPr="00050C1F" w:rsidRDefault="00443421" w:rsidP="00443421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05.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43421" w:rsidRDefault="00443421" w:rsidP="0044342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Države članice so se dogovorile o zbirki orodij za povezljivost</w:t>
      </w:r>
    </w:p>
    <w:p w:rsidR="00A064F0" w:rsidRPr="003447B4" w:rsidRDefault="00A064F0" w:rsidP="003447B4">
      <w:pPr>
        <w:jc w:val="both"/>
        <w:rPr>
          <w:rFonts w:ascii="Arial" w:hAnsi="Arial" w:cs="Arial"/>
          <w:b/>
          <w:i/>
        </w:rPr>
      </w:pPr>
      <w:r w:rsidRPr="003447B4">
        <w:rPr>
          <w:rFonts w:ascii="Arial" w:hAnsi="Arial" w:cs="Arial"/>
          <w:b/>
          <w:i/>
        </w:rPr>
        <w:t xml:space="preserve">Države članice EU so se dogovorile o zbirki orodij za povezljivost, za katere menijo, da so najučinkovitejše pri uvajanju fiksnih in mobilnih zelo visokozmogljivih omrežij, vključno s 5G. Te vključujejo na primer oprostitve dovoljenj za nekatera gradbena dela, enotni spletni portal, na katerem bodo na voljo vse potrebne informacije o dovoljenjih, gradbenih delih in infrastrukturi. Vključene so prav tako finančne spodbude na dražbah spektra za naložbe v omrežja ter ukrepi, ki podpirajo brezžično povezljivost za uporabo prelomnih tehnologij in inteligentnih strojev v proizvodnem in industrijskem sektorju. </w:t>
      </w:r>
    </w:p>
    <w:p w:rsidR="00FE1CAA" w:rsidRPr="003447B4" w:rsidRDefault="00A064F0" w:rsidP="003447B4">
      <w:pPr>
        <w:jc w:val="both"/>
        <w:rPr>
          <w:rFonts w:ascii="Arial" w:hAnsi="Arial" w:cs="Arial"/>
          <w:sz w:val="20"/>
          <w:szCs w:val="20"/>
        </w:rPr>
      </w:pPr>
      <w:r w:rsidRPr="003447B4">
        <w:rPr>
          <w:rFonts w:ascii="Arial" w:hAnsi="Arial" w:cs="Arial"/>
          <w:sz w:val="20"/>
          <w:szCs w:val="20"/>
        </w:rPr>
        <w:t xml:space="preserve">Zbirka dobrih praks naj bi bila državam članicam EU v pomoč pri vzpostavljanju pravočasnega in naložbam prijaznega dostopa do 5G za mobilne operaterje in druge uporabnike. Poleg tega naj bi operaterjem pomagala znižati stroške postavitve </w:t>
      </w:r>
      <w:proofErr w:type="spellStart"/>
      <w:r w:rsidRPr="003447B4">
        <w:rPr>
          <w:rFonts w:ascii="Arial" w:hAnsi="Arial" w:cs="Arial"/>
          <w:sz w:val="20"/>
          <w:szCs w:val="20"/>
        </w:rPr>
        <w:t>gigabitnih</w:t>
      </w:r>
      <w:proofErr w:type="spellEnd"/>
      <w:r w:rsidRPr="003447B4">
        <w:rPr>
          <w:rFonts w:ascii="Arial" w:hAnsi="Arial" w:cs="Arial"/>
          <w:sz w:val="20"/>
          <w:szCs w:val="20"/>
        </w:rPr>
        <w:t xml:space="preserve"> širokopasovnih povezav.</w:t>
      </w:r>
    </w:p>
    <w:p w:rsidR="00A064F0" w:rsidRPr="003447B4" w:rsidRDefault="000412E0" w:rsidP="003447B4">
      <w:pPr>
        <w:jc w:val="both"/>
        <w:rPr>
          <w:rFonts w:ascii="Arial" w:hAnsi="Arial" w:cs="Arial"/>
          <w:sz w:val="20"/>
          <w:szCs w:val="20"/>
        </w:rPr>
      </w:pPr>
      <w:r w:rsidRPr="003447B4">
        <w:rPr>
          <w:rFonts w:ascii="Arial" w:hAnsi="Arial" w:cs="Arial"/>
          <w:sz w:val="20"/>
          <w:szCs w:val="20"/>
        </w:rPr>
        <w:t xml:space="preserve">Države članice naj bi hitro začele z implementacijo orodij. V skladu s priporočilom o povezljivosti  morajo do 30. aprila Evropski komisiji posredovati nacionalne načrte za implementacijo. Kar je tudi v skladu z rokom, ko morajo oddati svoje nacionalne </w:t>
      </w:r>
      <w:proofErr w:type="spellStart"/>
      <w:r w:rsidRPr="003447B4">
        <w:rPr>
          <w:rFonts w:ascii="Arial" w:hAnsi="Arial" w:cs="Arial"/>
          <w:sz w:val="20"/>
          <w:szCs w:val="20"/>
        </w:rPr>
        <w:t>načrtew</w:t>
      </w:r>
      <w:proofErr w:type="spellEnd"/>
      <w:r w:rsidRPr="003447B4">
        <w:rPr>
          <w:rFonts w:ascii="Arial" w:hAnsi="Arial" w:cs="Arial"/>
          <w:sz w:val="20"/>
          <w:szCs w:val="20"/>
        </w:rPr>
        <w:t xml:space="preserve"> za okrevanje in odpornost.</w:t>
      </w:r>
    </w:p>
    <w:p w:rsidR="000412E0" w:rsidRPr="003447B4" w:rsidRDefault="000412E0" w:rsidP="003447B4">
      <w:pPr>
        <w:jc w:val="both"/>
        <w:rPr>
          <w:rFonts w:ascii="Arial" w:hAnsi="Arial" w:cs="Arial"/>
          <w:b/>
          <w:sz w:val="20"/>
          <w:szCs w:val="20"/>
        </w:rPr>
      </w:pPr>
      <w:r w:rsidRPr="003447B4">
        <w:rPr>
          <w:rFonts w:ascii="Arial" w:hAnsi="Arial" w:cs="Arial"/>
          <w:b/>
          <w:sz w:val="20"/>
          <w:szCs w:val="20"/>
        </w:rPr>
        <w:t>Koristne informacije:</w:t>
      </w:r>
    </w:p>
    <w:p w:rsidR="000412E0" w:rsidRPr="003447B4" w:rsidRDefault="000412E0" w:rsidP="003447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447B4">
        <w:rPr>
          <w:rFonts w:ascii="Arial" w:hAnsi="Arial" w:cs="Arial"/>
          <w:sz w:val="20"/>
          <w:szCs w:val="20"/>
        </w:rPr>
        <w:t>Spletna stran s povezavo na zbirko orodij:</w:t>
      </w:r>
    </w:p>
    <w:p w:rsidR="000412E0" w:rsidRPr="003447B4" w:rsidRDefault="000412E0" w:rsidP="003447B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447B4">
          <w:rPr>
            <w:rStyle w:val="Hiperpovezava"/>
            <w:rFonts w:ascii="Arial" w:hAnsi="Arial" w:cs="Arial"/>
            <w:sz w:val="20"/>
            <w:szCs w:val="20"/>
          </w:rPr>
          <w:t>https://digital-strategy.ec.europa.eu/en/news/connectivity-toolbox-member-states-agree-best-practices-boost-timely-deployment-5g-and-fibre</w:t>
        </w:r>
      </w:hyperlink>
    </w:p>
    <w:p w:rsidR="000412E0" w:rsidRPr="003447B4" w:rsidRDefault="000412E0" w:rsidP="00344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47B4">
        <w:rPr>
          <w:rFonts w:ascii="Arial" w:hAnsi="Arial" w:cs="Arial"/>
          <w:sz w:val="20"/>
          <w:szCs w:val="20"/>
        </w:rPr>
        <w:t>Pripravila:</w:t>
      </w:r>
    </w:p>
    <w:p w:rsidR="000412E0" w:rsidRPr="003447B4" w:rsidRDefault="000412E0" w:rsidP="00344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47B4">
        <w:rPr>
          <w:rFonts w:ascii="Arial" w:hAnsi="Arial" w:cs="Arial"/>
          <w:sz w:val="20"/>
          <w:szCs w:val="20"/>
        </w:rPr>
        <w:t>Darja Kocbek</w:t>
      </w:r>
    </w:p>
    <w:sectPr w:rsidR="000412E0" w:rsidRPr="003447B4" w:rsidSect="00FE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A621A"/>
    <w:multiLevelType w:val="hybridMultilevel"/>
    <w:tmpl w:val="78DAE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4F0"/>
    <w:rsid w:val="000412E0"/>
    <w:rsid w:val="003447B4"/>
    <w:rsid w:val="00443421"/>
    <w:rsid w:val="00A064F0"/>
    <w:rsid w:val="00FE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CA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3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64F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447B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43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3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news/connectivity-toolbox-member-states-agree-best-practices-boost-timely-deployment-5g-and-fib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2021-04-01T06:05:00Z</dcterms:created>
  <dcterms:modified xsi:type="dcterms:W3CDTF">2021-04-01T07:34:00Z</dcterms:modified>
</cp:coreProperties>
</file>