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08" w:rsidRDefault="002C1708" w:rsidP="002C1708">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C1708" w:rsidRDefault="002C1708" w:rsidP="002C1708">
      <w:pPr>
        <w:pStyle w:val="Naslov2"/>
        <w:tabs>
          <w:tab w:val="left" w:pos="3120"/>
        </w:tabs>
        <w:jc w:val="center"/>
        <w:rPr>
          <w:b w:val="0"/>
          <w:bCs w:val="0"/>
          <w:i/>
          <w:iCs/>
          <w:sz w:val="22"/>
        </w:rPr>
      </w:pPr>
      <w:r>
        <w:rPr>
          <w:b w:val="0"/>
          <w:bCs w:val="0"/>
          <w:sz w:val="22"/>
        </w:rPr>
        <w:t>Slovensko gospodarsko in raziskovalno združenje, Bruselj</w:t>
      </w:r>
    </w:p>
    <w:p w:rsidR="002C1708" w:rsidRDefault="002C1708" w:rsidP="002C1708">
      <w:pPr>
        <w:pBdr>
          <w:bottom w:val="single" w:sz="6" w:space="1" w:color="auto"/>
        </w:pBdr>
        <w:tabs>
          <w:tab w:val="left" w:pos="3120"/>
        </w:tabs>
        <w:jc w:val="center"/>
        <w:rPr>
          <w:sz w:val="16"/>
          <w:szCs w:val="16"/>
        </w:rPr>
      </w:pPr>
    </w:p>
    <w:p w:rsidR="002C1708" w:rsidRPr="002854F0" w:rsidRDefault="002C1708" w:rsidP="002C1708">
      <w:pPr>
        <w:tabs>
          <w:tab w:val="left" w:pos="3120"/>
        </w:tabs>
        <w:jc w:val="center"/>
        <w:rPr>
          <w:rFonts w:ascii="Arial" w:hAnsi="Arial" w:cs="Arial"/>
          <w:b/>
        </w:rPr>
      </w:pPr>
    </w:p>
    <w:p w:rsidR="002C1708" w:rsidRPr="002854F0" w:rsidRDefault="002C1708" w:rsidP="002C1708">
      <w:pPr>
        <w:tabs>
          <w:tab w:val="left" w:pos="3120"/>
        </w:tabs>
        <w:jc w:val="center"/>
        <w:rPr>
          <w:rFonts w:ascii="Arial" w:hAnsi="Arial" w:cs="Arial"/>
          <w:b/>
        </w:rPr>
      </w:pPr>
      <w:r>
        <w:rPr>
          <w:rFonts w:ascii="Arial" w:hAnsi="Arial" w:cs="Arial"/>
          <w:b/>
        </w:rPr>
        <w:t>Občasna informacija članom 55</w:t>
      </w:r>
      <w:r w:rsidRPr="002854F0">
        <w:rPr>
          <w:rFonts w:ascii="Arial" w:hAnsi="Arial" w:cs="Arial"/>
          <w:b/>
        </w:rPr>
        <w:t xml:space="preserve"> – 2017</w:t>
      </w:r>
    </w:p>
    <w:p w:rsidR="002C1708" w:rsidRPr="00E4076C" w:rsidRDefault="002C1708" w:rsidP="002C1708">
      <w:pPr>
        <w:tabs>
          <w:tab w:val="left" w:pos="3120"/>
        </w:tabs>
        <w:jc w:val="center"/>
        <w:rPr>
          <w:rFonts w:ascii="Arial" w:hAnsi="Arial" w:cs="Arial"/>
          <w:b/>
        </w:rPr>
      </w:pPr>
      <w:r>
        <w:rPr>
          <w:rFonts w:ascii="Arial" w:hAnsi="Arial" w:cs="Arial"/>
          <w:b/>
        </w:rPr>
        <w:t>03</w:t>
      </w:r>
      <w:r w:rsidRPr="002854F0">
        <w:rPr>
          <w:rFonts w:ascii="Arial" w:hAnsi="Arial" w:cs="Arial"/>
          <w:b/>
        </w:rPr>
        <w:t xml:space="preserve">. </w:t>
      </w:r>
      <w:r>
        <w:rPr>
          <w:rFonts w:ascii="Arial" w:hAnsi="Arial" w:cs="Arial"/>
          <w:b/>
        </w:rPr>
        <w:t>april</w:t>
      </w:r>
      <w:r w:rsidRPr="002854F0">
        <w:rPr>
          <w:rFonts w:ascii="Arial" w:hAnsi="Arial" w:cs="Arial"/>
          <w:b/>
        </w:rPr>
        <w:t xml:space="preserve"> 2017</w:t>
      </w:r>
    </w:p>
    <w:p w:rsidR="002C1708" w:rsidRDefault="002C1708" w:rsidP="002C1708">
      <w:pPr>
        <w:jc w:val="center"/>
        <w:rPr>
          <w:rFonts w:ascii="Arial" w:hAnsi="Arial" w:cs="Arial"/>
          <w:b/>
          <w:i/>
        </w:rPr>
      </w:pPr>
      <w:r>
        <w:rPr>
          <w:rFonts w:ascii="Arial" w:hAnsi="Arial" w:cs="Arial"/>
          <w:b/>
          <w:color w:val="993300"/>
          <w:sz w:val="32"/>
          <w:szCs w:val="32"/>
        </w:rPr>
        <w:t>Tehnična pomoč državam članicam TAIEX-REGIO PEER 2 PEER je podaljšana do leta 2020</w:t>
      </w:r>
    </w:p>
    <w:p w:rsidR="009F3BF4" w:rsidRPr="00FA3BF9" w:rsidRDefault="00A15F49" w:rsidP="00FA3BF9">
      <w:pPr>
        <w:rPr>
          <w:rFonts w:ascii="Arial" w:hAnsi="Arial" w:cs="Arial"/>
          <w:b/>
          <w:i/>
        </w:rPr>
      </w:pPr>
      <w:r w:rsidRPr="00FA3BF9">
        <w:rPr>
          <w:rFonts w:ascii="Arial" w:hAnsi="Arial" w:cs="Arial"/>
          <w:b/>
          <w:i/>
        </w:rPr>
        <w:t xml:space="preserve">V prvih dveh letih po uvedbi instrumenta </w:t>
      </w:r>
      <w:r w:rsidR="00FA3BF9" w:rsidRPr="00FA3BF9">
        <w:rPr>
          <w:rFonts w:ascii="Arial" w:hAnsi="Arial" w:cs="Arial"/>
          <w:b/>
          <w:i/>
        </w:rPr>
        <w:t xml:space="preserve">TAIEX-REGIO </w:t>
      </w:r>
      <w:r w:rsidRPr="00FA3BF9">
        <w:rPr>
          <w:rFonts w:ascii="Arial" w:hAnsi="Arial" w:cs="Arial"/>
          <w:b/>
          <w:i/>
        </w:rPr>
        <w:t>PEER 2 PEER za pomoč državam članicam pri izboljšanju administrativ</w:t>
      </w:r>
      <w:r w:rsidR="009F3BF4" w:rsidRPr="00FA3BF9">
        <w:rPr>
          <w:rFonts w:ascii="Arial" w:hAnsi="Arial" w:cs="Arial"/>
          <w:b/>
          <w:i/>
        </w:rPr>
        <w:t xml:space="preserve">nih zmogljivosti za črpanje sredstev iz Evropskega sklada za regionalni razvoj in Kohezijskega sklada je Evropska komisija prejela 155 prošenj za izmenjavo informacij. Polovico jih je že uresničila, nekaj dogodkov ima še v načrtu. Ker ugotavlja, da državam članicam pomaga, se je Evropska komisija odločila, da bo pomoč prek tega instrumenta zagotavljala do leta 2020. </w:t>
      </w:r>
    </w:p>
    <w:p w:rsidR="00B459D4" w:rsidRPr="00FA3BF9" w:rsidRDefault="009F3BF4" w:rsidP="00FA3BF9">
      <w:pPr>
        <w:rPr>
          <w:rFonts w:ascii="Arial" w:hAnsi="Arial" w:cs="Arial"/>
          <w:sz w:val="20"/>
          <w:szCs w:val="20"/>
        </w:rPr>
      </w:pPr>
      <w:r w:rsidRPr="00FA3BF9">
        <w:rPr>
          <w:rFonts w:ascii="Arial" w:hAnsi="Arial" w:cs="Arial"/>
          <w:sz w:val="20"/>
          <w:szCs w:val="20"/>
        </w:rPr>
        <w:t>Države članice so v prvih dveh letih prosile za pomoč za različna področja, od področja upravljanja in nadzora do možnosti uporabe finančnih instrumentov, urbanega razvoja, pametne specializacije in javnega naročanja.</w:t>
      </w:r>
      <w:r w:rsidR="00354C92">
        <w:rPr>
          <w:rFonts w:ascii="Arial" w:hAnsi="Arial" w:cs="Arial"/>
          <w:sz w:val="20"/>
          <w:szCs w:val="20"/>
        </w:rPr>
        <w:t xml:space="preserve"> Izmenjave financira Evropska komisija kot tehnično pomoč, določene stroške lahko plača tudi institucija, ki zaprosi za pomoč.</w:t>
      </w:r>
    </w:p>
    <w:p w:rsidR="009F3BF4" w:rsidRDefault="009F3BF4" w:rsidP="00FA3BF9">
      <w:pPr>
        <w:rPr>
          <w:rFonts w:ascii="Arial" w:hAnsi="Arial" w:cs="Arial"/>
          <w:sz w:val="20"/>
          <w:szCs w:val="20"/>
        </w:rPr>
      </w:pPr>
      <w:r w:rsidRPr="00FA3BF9">
        <w:rPr>
          <w:rFonts w:ascii="Arial" w:hAnsi="Arial" w:cs="Arial"/>
          <w:sz w:val="20"/>
          <w:szCs w:val="20"/>
        </w:rPr>
        <w:t xml:space="preserve">V izmenjave je bilo vključenih več kot 1300 udeležencev v 24 članicah EU, najbolj aktivne države pri uporabi instrumenta </w:t>
      </w:r>
      <w:r w:rsidR="00FA3BF9" w:rsidRPr="00FA3BF9">
        <w:rPr>
          <w:rFonts w:ascii="Arial" w:hAnsi="Arial" w:cs="Arial"/>
          <w:sz w:val="20"/>
          <w:szCs w:val="20"/>
        </w:rPr>
        <w:t xml:space="preserve">TAIEX-REGIO PEER 2 PEER </w:t>
      </w:r>
      <w:r w:rsidRPr="00FA3BF9">
        <w:rPr>
          <w:rFonts w:ascii="Arial" w:hAnsi="Arial" w:cs="Arial"/>
          <w:sz w:val="20"/>
          <w:szCs w:val="20"/>
        </w:rPr>
        <w:t xml:space="preserve">so bile Litva, Češka in Hrvaška. Najbolj aktivne države pri izmenjavi izkušenj pa Poljska, Nizozemska in Litva. </w:t>
      </w:r>
    </w:p>
    <w:p w:rsidR="00115CBC" w:rsidRPr="00354C92" w:rsidRDefault="00115CBC" w:rsidP="00FA3BF9">
      <w:pPr>
        <w:rPr>
          <w:rFonts w:ascii="Arial" w:hAnsi="Arial" w:cs="Arial"/>
          <w:b/>
          <w:sz w:val="20"/>
          <w:szCs w:val="20"/>
        </w:rPr>
      </w:pPr>
      <w:r w:rsidRPr="00354C92">
        <w:rPr>
          <w:rFonts w:ascii="Arial" w:hAnsi="Arial" w:cs="Arial"/>
          <w:b/>
          <w:sz w:val="20"/>
          <w:szCs w:val="20"/>
        </w:rPr>
        <w:t>Tabela 1: Možnosti pomoči prek instrumenta TAIEX-REGIO PEER 2 PEER</w:t>
      </w:r>
    </w:p>
    <w:tbl>
      <w:tblPr>
        <w:tblStyle w:val="Tabela-mrea"/>
        <w:tblW w:w="0" w:type="auto"/>
        <w:tblLook w:val="04A0"/>
      </w:tblPr>
      <w:tblGrid>
        <w:gridCol w:w="4606"/>
        <w:gridCol w:w="4606"/>
      </w:tblGrid>
      <w:tr w:rsidR="00115CBC" w:rsidTr="00115CBC">
        <w:tc>
          <w:tcPr>
            <w:tcW w:w="4606" w:type="dxa"/>
          </w:tcPr>
          <w:p w:rsidR="00115CBC" w:rsidRPr="00354C92" w:rsidRDefault="00115CBC" w:rsidP="00FA3BF9">
            <w:pPr>
              <w:rPr>
                <w:rFonts w:ascii="Arial" w:hAnsi="Arial" w:cs="Arial"/>
                <w:b/>
                <w:sz w:val="20"/>
                <w:szCs w:val="20"/>
              </w:rPr>
            </w:pPr>
            <w:r w:rsidRPr="00354C92">
              <w:rPr>
                <w:rFonts w:ascii="Arial" w:hAnsi="Arial" w:cs="Arial"/>
                <w:b/>
                <w:sz w:val="20"/>
                <w:szCs w:val="20"/>
              </w:rPr>
              <w:t>Izmenjave</w:t>
            </w:r>
          </w:p>
        </w:tc>
        <w:tc>
          <w:tcPr>
            <w:tcW w:w="4606" w:type="dxa"/>
          </w:tcPr>
          <w:p w:rsidR="00115CBC" w:rsidRPr="00354C92" w:rsidRDefault="00115CBC" w:rsidP="00FA3BF9">
            <w:pPr>
              <w:rPr>
                <w:rFonts w:ascii="Arial" w:hAnsi="Arial" w:cs="Arial"/>
                <w:b/>
                <w:sz w:val="20"/>
                <w:szCs w:val="20"/>
              </w:rPr>
            </w:pPr>
            <w:r w:rsidRPr="00354C92">
              <w:rPr>
                <w:rFonts w:ascii="Arial" w:hAnsi="Arial" w:cs="Arial"/>
                <w:b/>
                <w:sz w:val="20"/>
                <w:szCs w:val="20"/>
              </w:rPr>
              <w:t>Trajanje, število udeležencev</w:t>
            </w:r>
          </w:p>
        </w:tc>
      </w:tr>
      <w:tr w:rsidR="00115CBC" w:rsidTr="00115CBC">
        <w:tc>
          <w:tcPr>
            <w:tcW w:w="4606" w:type="dxa"/>
          </w:tcPr>
          <w:p w:rsidR="00115CBC" w:rsidRDefault="00115CBC" w:rsidP="00FA3BF9">
            <w:pPr>
              <w:rPr>
                <w:rFonts w:ascii="Arial" w:hAnsi="Arial" w:cs="Arial"/>
                <w:sz w:val="20"/>
                <w:szCs w:val="20"/>
              </w:rPr>
            </w:pPr>
            <w:r w:rsidRPr="00354C92">
              <w:rPr>
                <w:rFonts w:ascii="Arial" w:hAnsi="Arial" w:cs="Arial"/>
                <w:b/>
                <w:sz w:val="20"/>
                <w:szCs w:val="20"/>
              </w:rPr>
              <w:t>Strokovna misija:</w:t>
            </w:r>
            <w:r>
              <w:rPr>
                <w:rFonts w:ascii="Arial" w:hAnsi="Arial" w:cs="Arial"/>
                <w:sz w:val="20"/>
                <w:szCs w:val="20"/>
              </w:rPr>
              <w:t xml:space="preserve"> Izvedence iz ene države članice je mogoče poslati v institucije druge države članice, ki je prosila za nasvete in izmenjavo izkušenj o določeni temi</w:t>
            </w:r>
          </w:p>
        </w:tc>
        <w:tc>
          <w:tcPr>
            <w:tcW w:w="4606" w:type="dxa"/>
          </w:tcPr>
          <w:p w:rsidR="00115CBC" w:rsidRDefault="00115CBC" w:rsidP="00FA3BF9">
            <w:pPr>
              <w:rPr>
                <w:rFonts w:ascii="Arial" w:hAnsi="Arial" w:cs="Arial"/>
                <w:sz w:val="20"/>
                <w:szCs w:val="20"/>
              </w:rPr>
            </w:pPr>
            <w:r>
              <w:rPr>
                <w:rFonts w:ascii="Arial" w:hAnsi="Arial" w:cs="Arial"/>
                <w:sz w:val="20"/>
                <w:szCs w:val="20"/>
              </w:rPr>
              <w:t>2 – 5 dni</w:t>
            </w:r>
          </w:p>
        </w:tc>
      </w:tr>
      <w:tr w:rsidR="00115CBC" w:rsidTr="00115CBC">
        <w:tc>
          <w:tcPr>
            <w:tcW w:w="4606" w:type="dxa"/>
          </w:tcPr>
          <w:p w:rsidR="00115CBC" w:rsidRDefault="00175548" w:rsidP="00175548">
            <w:pPr>
              <w:rPr>
                <w:rFonts w:ascii="Arial" w:hAnsi="Arial" w:cs="Arial"/>
                <w:sz w:val="20"/>
                <w:szCs w:val="20"/>
              </w:rPr>
            </w:pPr>
            <w:r w:rsidRPr="00354C92">
              <w:rPr>
                <w:rFonts w:ascii="Arial" w:hAnsi="Arial" w:cs="Arial"/>
                <w:b/>
                <w:sz w:val="20"/>
                <w:szCs w:val="20"/>
              </w:rPr>
              <w:t>Študijski obisk:</w:t>
            </w:r>
            <w:r>
              <w:rPr>
                <w:rFonts w:ascii="Arial" w:hAnsi="Arial" w:cs="Arial"/>
                <w:sz w:val="20"/>
                <w:szCs w:val="20"/>
              </w:rPr>
              <w:t xml:space="preserve"> Uslužbence iz določene institucije ene države članice je mogoče poslati na delovni obisk v institucije druge države članice, kjer se učijo in izmenjujejo dobre prakse</w:t>
            </w:r>
          </w:p>
        </w:tc>
        <w:tc>
          <w:tcPr>
            <w:tcW w:w="4606" w:type="dxa"/>
          </w:tcPr>
          <w:p w:rsidR="00115CBC" w:rsidRDefault="00175548" w:rsidP="00FA3BF9">
            <w:pPr>
              <w:rPr>
                <w:rFonts w:ascii="Arial" w:hAnsi="Arial" w:cs="Arial"/>
                <w:sz w:val="20"/>
                <w:szCs w:val="20"/>
              </w:rPr>
            </w:pPr>
            <w:r>
              <w:rPr>
                <w:rFonts w:ascii="Arial" w:hAnsi="Arial" w:cs="Arial"/>
                <w:sz w:val="20"/>
                <w:szCs w:val="20"/>
              </w:rPr>
              <w:t>2 – 5 dni, največ 3 udeleženci</w:t>
            </w:r>
          </w:p>
        </w:tc>
      </w:tr>
      <w:tr w:rsidR="00115CBC" w:rsidTr="00115CBC">
        <w:tc>
          <w:tcPr>
            <w:tcW w:w="4606" w:type="dxa"/>
          </w:tcPr>
          <w:p w:rsidR="00115CBC" w:rsidRDefault="00175548" w:rsidP="00FA3BF9">
            <w:pPr>
              <w:rPr>
                <w:rFonts w:ascii="Arial" w:hAnsi="Arial" w:cs="Arial"/>
                <w:sz w:val="20"/>
                <w:szCs w:val="20"/>
              </w:rPr>
            </w:pPr>
            <w:r w:rsidRPr="00354C92">
              <w:rPr>
                <w:rFonts w:ascii="Arial" w:hAnsi="Arial" w:cs="Arial"/>
                <w:b/>
                <w:sz w:val="20"/>
                <w:szCs w:val="20"/>
              </w:rPr>
              <w:t>Delavnice:</w:t>
            </w:r>
            <w:r>
              <w:rPr>
                <w:rFonts w:ascii="Arial" w:hAnsi="Arial" w:cs="Arial"/>
                <w:sz w:val="20"/>
                <w:szCs w:val="20"/>
              </w:rPr>
              <w:t xml:space="preserve"> Izvesti jih je mogoče v določeni instituciji za eno ali več držav</w:t>
            </w:r>
          </w:p>
        </w:tc>
        <w:tc>
          <w:tcPr>
            <w:tcW w:w="4606" w:type="dxa"/>
          </w:tcPr>
          <w:p w:rsidR="00115CBC" w:rsidRDefault="00175548" w:rsidP="00FA3BF9">
            <w:pPr>
              <w:rPr>
                <w:rFonts w:ascii="Arial" w:hAnsi="Arial" w:cs="Arial"/>
                <w:sz w:val="20"/>
                <w:szCs w:val="20"/>
              </w:rPr>
            </w:pPr>
            <w:r>
              <w:rPr>
                <w:rFonts w:ascii="Arial" w:hAnsi="Arial" w:cs="Arial"/>
                <w:sz w:val="20"/>
                <w:szCs w:val="20"/>
              </w:rPr>
              <w:t>Običajno trajajo 2 dni</w:t>
            </w:r>
          </w:p>
        </w:tc>
      </w:tr>
    </w:tbl>
    <w:p w:rsidR="00115CBC" w:rsidRPr="00FA3BF9" w:rsidRDefault="00175548" w:rsidP="00FA3BF9">
      <w:pPr>
        <w:rPr>
          <w:rFonts w:ascii="Arial" w:hAnsi="Arial" w:cs="Arial"/>
          <w:sz w:val="20"/>
          <w:szCs w:val="20"/>
        </w:rPr>
      </w:pPr>
      <w:r>
        <w:rPr>
          <w:rFonts w:ascii="Arial" w:hAnsi="Arial" w:cs="Arial"/>
          <w:sz w:val="20"/>
          <w:szCs w:val="20"/>
        </w:rPr>
        <w:t>Vir: Evropska komisija</w:t>
      </w:r>
    </w:p>
    <w:p w:rsidR="002C1708" w:rsidRDefault="002C1708" w:rsidP="00FA3BF9">
      <w:pPr>
        <w:rPr>
          <w:rFonts w:ascii="Arial" w:hAnsi="Arial" w:cs="Arial"/>
          <w:b/>
          <w:sz w:val="20"/>
          <w:szCs w:val="20"/>
        </w:rPr>
      </w:pPr>
    </w:p>
    <w:p w:rsidR="009F3BF4" w:rsidRPr="00115CBC" w:rsidRDefault="009F3BF4" w:rsidP="00FA3BF9">
      <w:pPr>
        <w:rPr>
          <w:rFonts w:ascii="Arial" w:hAnsi="Arial" w:cs="Arial"/>
          <w:b/>
          <w:sz w:val="20"/>
          <w:szCs w:val="20"/>
        </w:rPr>
      </w:pPr>
      <w:r w:rsidRPr="00115CBC">
        <w:rPr>
          <w:rFonts w:ascii="Arial" w:hAnsi="Arial" w:cs="Arial"/>
          <w:b/>
          <w:sz w:val="20"/>
          <w:szCs w:val="20"/>
        </w:rPr>
        <w:lastRenderedPageBreak/>
        <w:t>Koristne informacije:</w:t>
      </w:r>
    </w:p>
    <w:p w:rsidR="009F3BF4" w:rsidRPr="00115CBC" w:rsidRDefault="00FA3BF9" w:rsidP="00115CBC">
      <w:pPr>
        <w:pStyle w:val="Odstavekseznama"/>
        <w:numPr>
          <w:ilvl w:val="0"/>
          <w:numId w:val="1"/>
        </w:numPr>
        <w:rPr>
          <w:rFonts w:ascii="Arial" w:hAnsi="Arial" w:cs="Arial"/>
          <w:sz w:val="20"/>
          <w:szCs w:val="20"/>
        </w:rPr>
      </w:pPr>
      <w:r w:rsidRPr="00115CBC">
        <w:rPr>
          <w:rFonts w:ascii="Arial" w:hAnsi="Arial" w:cs="Arial"/>
          <w:sz w:val="20"/>
          <w:szCs w:val="20"/>
        </w:rPr>
        <w:t>Spletna stran z informacijami o instrumentu TAIEX-REGIO PEER 2 PEER:</w:t>
      </w:r>
    </w:p>
    <w:p w:rsidR="00FA3BF9" w:rsidRPr="00115CBC" w:rsidRDefault="00FA3BF9" w:rsidP="00115CBC">
      <w:pPr>
        <w:pStyle w:val="Odstavekseznama"/>
        <w:numPr>
          <w:ilvl w:val="0"/>
          <w:numId w:val="1"/>
        </w:numPr>
        <w:rPr>
          <w:rFonts w:ascii="Arial" w:hAnsi="Arial" w:cs="Arial"/>
          <w:sz w:val="20"/>
          <w:szCs w:val="20"/>
        </w:rPr>
      </w:pPr>
      <w:hyperlink r:id="rId6" w:history="1">
        <w:r w:rsidRPr="00115CBC">
          <w:rPr>
            <w:rStyle w:val="Hiperpovezava"/>
            <w:rFonts w:ascii="Arial" w:hAnsi="Arial" w:cs="Arial"/>
            <w:sz w:val="20"/>
            <w:szCs w:val="20"/>
          </w:rPr>
          <w:t>http://ec.europa.eu/regional_policy/en/policy/how/improving-investment/taiex-regio-peer-2-peer/faq/</w:t>
        </w:r>
      </w:hyperlink>
    </w:p>
    <w:p w:rsidR="00FA3BF9" w:rsidRPr="00FA3BF9" w:rsidRDefault="00FA3BF9" w:rsidP="00FA3BF9">
      <w:pPr>
        <w:rPr>
          <w:rFonts w:ascii="Arial" w:hAnsi="Arial" w:cs="Arial"/>
          <w:sz w:val="20"/>
          <w:szCs w:val="20"/>
        </w:rPr>
      </w:pPr>
      <w:r w:rsidRPr="00FA3BF9">
        <w:rPr>
          <w:rFonts w:ascii="Arial" w:hAnsi="Arial" w:cs="Arial"/>
          <w:sz w:val="20"/>
          <w:szCs w:val="20"/>
        </w:rPr>
        <w:t>Pripravila:</w:t>
      </w:r>
    </w:p>
    <w:p w:rsidR="00FA3BF9" w:rsidRPr="00FA3BF9" w:rsidRDefault="00FA3BF9" w:rsidP="00FA3BF9">
      <w:pPr>
        <w:rPr>
          <w:rFonts w:ascii="Arial" w:hAnsi="Arial" w:cs="Arial"/>
          <w:sz w:val="20"/>
          <w:szCs w:val="20"/>
        </w:rPr>
      </w:pPr>
      <w:r w:rsidRPr="00FA3BF9">
        <w:rPr>
          <w:rFonts w:ascii="Arial" w:hAnsi="Arial" w:cs="Arial"/>
          <w:sz w:val="20"/>
          <w:szCs w:val="20"/>
        </w:rPr>
        <w:t>Darja Kocbek</w:t>
      </w:r>
    </w:p>
    <w:p w:rsidR="00FA3BF9" w:rsidRDefault="00FA3BF9"/>
    <w:p w:rsidR="009F3BF4" w:rsidRDefault="009F3BF4"/>
    <w:sectPr w:rsidR="009F3BF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92EFF"/>
    <w:multiLevelType w:val="hybridMultilevel"/>
    <w:tmpl w:val="6AE8E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5F49"/>
    <w:rsid w:val="00115CBC"/>
    <w:rsid w:val="00175548"/>
    <w:rsid w:val="002C1708"/>
    <w:rsid w:val="00354C92"/>
    <w:rsid w:val="004342EC"/>
    <w:rsid w:val="009F3BF4"/>
    <w:rsid w:val="00A15F49"/>
    <w:rsid w:val="00B459D4"/>
    <w:rsid w:val="00FA3BF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2C17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A3BF9"/>
    <w:rPr>
      <w:color w:val="0000FF" w:themeColor="hyperlink"/>
      <w:u w:val="single"/>
    </w:rPr>
  </w:style>
  <w:style w:type="paragraph" w:styleId="Odstavekseznama">
    <w:name w:val="List Paragraph"/>
    <w:basedOn w:val="Navaden"/>
    <w:uiPriority w:val="34"/>
    <w:qFormat/>
    <w:rsid w:val="00115CBC"/>
    <w:pPr>
      <w:ind w:left="720"/>
      <w:contextualSpacing/>
    </w:pPr>
  </w:style>
  <w:style w:type="table" w:styleId="Tabela-mrea">
    <w:name w:val="Table Grid"/>
    <w:basedOn w:val="Navadnatabela"/>
    <w:uiPriority w:val="59"/>
    <w:rsid w:val="00115CB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2Znak">
    <w:name w:val="Naslov 2 Znak"/>
    <w:basedOn w:val="Privzetapisavaodstavka"/>
    <w:link w:val="Naslov2"/>
    <w:uiPriority w:val="9"/>
    <w:semiHidden/>
    <w:rsid w:val="002C170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C170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C17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en/policy/how/improving-investment/taiex-regio-peer-2-peer/fa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335</Words>
  <Characters>1914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2017-03-29T17:50:00Z</dcterms:created>
  <dcterms:modified xsi:type="dcterms:W3CDTF">2017-03-29T18:42:00Z</dcterms:modified>
</cp:coreProperties>
</file>