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49" w:rsidRPr="00467345" w:rsidRDefault="00F84549" w:rsidP="00F8454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84549" w:rsidRPr="00301C78" w:rsidRDefault="00F84549" w:rsidP="00F84549">
      <w:pPr>
        <w:pStyle w:val="Naslov2"/>
        <w:tabs>
          <w:tab w:val="left" w:pos="3120"/>
        </w:tabs>
        <w:spacing w:before="0"/>
        <w:jc w:val="center"/>
        <w:rPr>
          <w:sz w:val="22"/>
        </w:rPr>
      </w:pPr>
      <w:r w:rsidRPr="00083714">
        <w:rPr>
          <w:sz w:val="22"/>
        </w:rPr>
        <w:t>Slovensko gospodarsko in raziskovalno združenje, Bruselj</w:t>
      </w:r>
    </w:p>
    <w:p w:rsidR="00F84549" w:rsidRPr="00083714" w:rsidRDefault="00F84549" w:rsidP="00F84549">
      <w:pPr>
        <w:pBdr>
          <w:bottom w:val="single" w:sz="6" w:space="1" w:color="auto"/>
        </w:pBdr>
        <w:tabs>
          <w:tab w:val="left" w:pos="3120"/>
        </w:tabs>
        <w:rPr>
          <w:sz w:val="16"/>
          <w:szCs w:val="16"/>
        </w:rPr>
      </w:pPr>
    </w:p>
    <w:p w:rsidR="00F84549" w:rsidRDefault="00F84549" w:rsidP="00F84549">
      <w:pPr>
        <w:tabs>
          <w:tab w:val="left" w:pos="3120"/>
        </w:tabs>
        <w:jc w:val="center"/>
        <w:rPr>
          <w:b/>
        </w:rPr>
      </w:pPr>
      <w:r>
        <w:rPr>
          <w:b/>
        </w:rPr>
        <w:t xml:space="preserve">Občasna informacija članom 48 </w:t>
      </w:r>
      <w:r w:rsidRPr="00083714">
        <w:rPr>
          <w:b/>
        </w:rPr>
        <w:t>– 20</w:t>
      </w:r>
      <w:r>
        <w:rPr>
          <w:b/>
        </w:rPr>
        <w:t>23</w:t>
      </w:r>
    </w:p>
    <w:p w:rsidR="00F84549" w:rsidRDefault="00F84549" w:rsidP="00F84549">
      <w:pPr>
        <w:tabs>
          <w:tab w:val="left" w:pos="3120"/>
        </w:tabs>
        <w:jc w:val="center"/>
        <w:rPr>
          <w:b/>
        </w:rPr>
      </w:pPr>
      <w:r>
        <w:rPr>
          <w:b/>
        </w:rPr>
        <w:t xml:space="preserve">20. marec </w:t>
      </w:r>
      <w:r w:rsidRPr="00083714">
        <w:rPr>
          <w:b/>
        </w:rPr>
        <w:t xml:space="preserve"> 20</w:t>
      </w:r>
      <w:r>
        <w:rPr>
          <w:b/>
        </w:rPr>
        <w:t>23</w:t>
      </w:r>
    </w:p>
    <w:p w:rsidR="00F84549" w:rsidRDefault="00F84549" w:rsidP="00F84549">
      <w:pPr>
        <w:jc w:val="center"/>
        <w:rPr>
          <w:rFonts w:ascii="Arial" w:hAnsi="Arial" w:cs="Arial"/>
          <w:b/>
          <w:i/>
        </w:rPr>
      </w:pPr>
      <w:r>
        <w:rPr>
          <w:b/>
          <w:color w:val="993300"/>
          <w:sz w:val="32"/>
          <w:szCs w:val="32"/>
        </w:rPr>
        <w:t>Predlog reforme zasnove trga z električno energijo v EU</w:t>
      </w:r>
    </w:p>
    <w:p w:rsidR="00432F67" w:rsidRPr="00F64749" w:rsidRDefault="0010516E" w:rsidP="00F64749">
      <w:pPr>
        <w:jc w:val="both"/>
        <w:rPr>
          <w:rFonts w:ascii="Arial" w:hAnsi="Arial" w:cs="Arial"/>
          <w:b/>
          <w:i/>
        </w:rPr>
      </w:pPr>
      <w:r w:rsidRPr="00F64749">
        <w:rPr>
          <w:rFonts w:ascii="Arial" w:hAnsi="Arial" w:cs="Arial"/>
          <w:b/>
          <w:i/>
        </w:rPr>
        <w:t xml:space="preserve">Evropska komisija je predlagala reformo zasnove trga z električno energijo v EU. Predlagana reforma predvideva revizije več zakonodajnih aktov EU, in sicer uredbe o električni energiji, direktive o električni energiji in uredbe REMIT. Ker mora EU potrojiti stopnjo uporabe obnovljivih virov energije, da bi dosegla cilje zelenega dogovora in projekta </w:t>
      </w:r>
      <w:proofErr w:type="spellStart"/>
      <w:r w:rsidRPr="00F64749">
        <w:rPr>
          <w:rFonts w:ascii="Arial" w:hAnsi="Arial" w:cs="Arial"/>
          <w:b/>
          <w:i/>
        </w:rPr>
        <w:t>REPowerEU</w:t>
      </w:r>
      <w:proofErr w:type="spellEnd"/>
      <w:r w:rsidRPr="00F64749">
        <w:rPr>
          <w:rFonts w:ascii="Arial" w:hAnsi="Arial" w:cs="Arial"/>
          <w:b/>
          <w:i/>
        </w:rPr>
        <w:t>, je glavni cilj reforme povečati naložbe v obnovljive vire energije. Člani lahko dobijo več informacij na SBRA.</w:t>
      </w:r>
    </w:p>
    <w:p w:rsidR="002E48FC" w:rsidRPr="00F64749" w:rsidRDefault="002E48FC" w:rsidP="00F64749">
      <w:pPr>
        <w:jc w:val="both"/>
        <w:rPr>
          <w:rFonts w:ascii="Arial" w:hAnsi="Arial" w:cs="Arial"/>
          <w:sz w:val="20"/>
          <w:szCs w:val="20"/>
        </w:rPr>
      </w:pPr>
      <w:r w:rsidRPr="00F64749">
        <w:rPr>
          <w:rFonts w:ascii="Arial" w:hAnsi="Arial" w:cs="Arial"/>
          <w:sz w:val="20"/>
          <w:szCs w:val="20"/>
        </w:rPr>
        <w:t xml:space="preserve">Za izboljšanje prožnosti elektroenergetskega sistema bodo morale države članice, če bo predlog reforme sprejet, oceniti svoje potrebe in določiti cilje za povečanje prožnosti virov, ki ne vključujejo fosilnih goriv. Uvedle bodo lahko nove programe podpore, zlasti za prilagajanje odjema in shranjevanje. Operaterji sistemov naj bi imeli možnost zmanjšanja odjema ob konicah. </w:t>
      </w:r>
    </w:p>
    <w:p w:rsidR="002E48FC" w:rsidRPr="00F64749" w:rsidRDefault="002E48FC" w:rsidP="00F64749">
      <w:pPr>
        <w:jc w:val="both"/>
        <w:rPr>
          <w:rFonts w:ascii="Arial" w:hAnsi="Arial" w:cs="Arial"/>
          <w:sz w:val="20"/>
          <w:szCs w:val="20"/>
        </w:rPr>
      </w:pPr>
      <w:r w:rsidRPr="00F64749">
        <w:rPr>
          <w:rFonts w:ascii="Arial" w:hAnsi="Arial" w:cs="Arial"/>
          <w:sz w:val="20"/>
          <w:szCs w:val="20"/>
        </w:rPr>
        <w:t>Evropska komisija je izdala tudi priporočila državam članicam o napredku na področju inovacij, tehnologij in zmogljivosti v zvezi s shranjevanjem.</w:t>
      </w:r>
      <w:r w:rsidR="00F64749" w:rsidRPr="00F64749">
        <w:rPr>
          <w:rFonts w:ascii="Arial" w:hAnsi="Arial" w:cs="Arial"/>
          <w:sz w:val="20"/>
          <w:szCs w:val="20"/>
        </w:rPr>
        <w:t xml:space="preserve"> </w:t>
      </w:r>
    </w:p>
    <w:p w:rsidR="00F64749" w:rsidRPr="00F64749" w:rsidRDefault="00F64749" w:rsidP="00F64749">
      <w:pPr>
        <w:jc w:val="both"/>
        <w:rPr>
          <w:rFonts w:ascii="Arial" w:hAnsi="Arial" w:cs="Arial"/>
          <w:sz w:val="20"/>
          <w:szCs w:val="20"/>
        </w:rPr>
      </w:pPr>
      <w:r w:rsidRPr="00F64749">
        <w:rPr>
          <w:rFonts w:ascii="Arial" w:hAnsi="Arial" w:cs="Arial"/>
          <w:sz w:val="20"/>
          <w:szCs w:val="20"/>
        </w:rPr>
        <w:t>Reforma naj bi spodbudila likvidnost trgov za dolgoročne pogodbe, ki zagotavljajo stabilnost cen v prihodnosti (terminske pogodbe).</w:t>
      </w:r>
    </w:p>
    <w:p w:rsidR="00F64749" w:rsidRPr="00F64749" w:rsidRDefault="00F64749" w:rsidP="00F64749">
      <w:pPr>
        <w:jc w:val="both"/>
        <w:rPr>
          <w:rFonts w:ascii="Arial" w:hAnsi="Arial" w:cs="Arial"/>
          <w:b/>
          <w:sz w:val="20"/>
          <w:szCs w:val="20"/>
        </w:rPr>
      </w:pPr>
      <w:r w:rsidRPr="00F64749">
        <w:rPr>
          <w:rFonts w:ascii="Arial" w:hAnsi="Arial" w:cs="Arial"/>
          <w:b/>
          <w:sz w:val="20"/>
          <w:szCs w:val="20"/>
        </w:rPr>
        <w:t>Koristne informacije:</w:t>
      </w:r>
    </w:p>
    <w:p w:rsidR="00F64749" w:rsidRPr="00F64749" w:rsidRDefault="00F64749" w:rsidP="00F64749">
      <w:pPr>
        <w:pStyle w:val="Odstavekseznama"/>
        <w:numPr>
          <w:ilvl w:val="0"/>
          <w:numId w:val="1"/>
        </w:numPr>
        <w:jc w:val="both"/>
        <w:rPr>
          <w:rFonts w:ascii="Arial" w:hAnsi="Arial" w:cs="Arial"/>
          <w:sz w:val="20"/>
          <w:szCs w:val="20"/>
        </w:rPr>
      </w:pPr>
      <w:hyperlink r:id="rId6" w:history="1">
        <w:r w:rsidRPr="00F64749">
          <w:rPr>
            <w:rStyle w:val="Hiperpovezava"/>
            <w:rFonts w:ascii="Arial" w:hAnsi="Arial" w:cs="Arial"/>
            <w:sz w:val="20"/>
            <w:szCs w:val="20"/>
          </w:rPr>
          <w:t>Predlog uredbe o spremembi za izboljšanje zasnove trga z električno energijo v Uniji</w:t>
        </w:r>
      </w:hyperlink>
    </w:p>
    <w:p w:rsidR="00F64749" w:rsidRPr="00F64749" w:rsidRDefault="00F64749" w:rsidP="00F64749">
      <w:pPr>
        <w:pStyle w:val="Odstavekseznama"/>
        <w:numPr>
          <w:ilvl w:val="0"/>
          <w:numId w:val="1"/>
        </w:numPr>
        <w:jc w:val="both"/>
        <w:rPr>
          <w:rFonts w:ascii="Arial" w:hAnsi="Arial" w:cs="Arial"/>
          <w:sz w:val="20"/>
          <w:szCs w:val="20"/>
        </w:rPr>
      </w:pPr>
      <w:hyperlink r:id="rId7" w:history="1">
        <w:r w:rsidRPr="00F64749">
          <w:rPr>
            <w:rStyle w:val="Hiperpovezava"/>
            <w:rFonts w:ascii="Arial" w:hAnsi="Arial" w:cs="Arial"/>
            <w:sz w:val="20"/>
            <w:szCs w:val="20"/>
          </w:rPr>
          <w:t>Predlog uredbe o spremembi za izboljšanje zaščite Unije pred tržno manipulacijo na veleprodajnem energetskem trgu</w:t>
        </w:r>
      </w:hyperlink>
    </w:p>
    <w:p w:rsidR="00F64749" w:rsidRPr="00F64749" w:rsidRDefault="00F64749" w:rsidP="00F64749">
      <w:pPr>
        <w:pStyle w:val="Odstavekseznama"/>
        <w:numPr>
          <w:ilvl w:val="0"/>
          <w:numId w:val="1"/>
        </w:numPr>
        <w:jc w:val="both"/>
        <w:rPr>
          <w:rFonts w:ascii="Arial" w:hAnsi="Arial" w:cs="Arial"/>
          <w:sz w:val="20"/>
          <w:szCs w:val="20"/>
        </w:rPr>
      </w:pPr>
      <w:hyperlink r:id="rId8" w:history="1">
        <w:r w:rsidRPr="00F64749">
          <w:rPr>
            <w:rStyle w:val="Hiperpovezava"/>
            <w:rFonts w:ascii="Arial" w:hAnsi="Arial" w:cs="Arial"/>
            <w:sz w:val="20"/>
            <w:szCs w:val="20"/>
          </w:rPr>
          <w:t>Delovni dokument služb Evropske komisije o reformi zasnove trga z električno energijo</w:t>
        </w:r>
      </w:hyperlink>
    </w:p>
    <w:p w:rsidR="00F64749" w:rsidRPr="00F64749" w:rsidRDefault="00F64749" w:rsidP="00F64749">
      <w:pPr>
        <w:pStyle w:val="Odstavekseznama"/>
        <w:numPr>
          <w:ilvl w:val="0"/>
          <w:numId w:val="1"/>
        </w:numPr>
        <w:jc w:val="both"/>
        <w:rPr>
          <w:rFonts w:ascii="Arial" w:hAnsi="Arial" w:cs="Arial"/>
          <w:sz w:val="20"/>
          <w:szCs w:val="20"/>
        </w:rPr>
      </w:pPr>
      <w:hyperlink r:id="rId9" w:history="1">
        <w:r w:rsidRPr="00F64749">
          <w:rPr>
            <w:rStyle w:val="Hiperpovezava"/>
            <w:rFonts w:ascii="Arial" w:hAnsi="Arial" w:cs="Arial"/>
            <w:sz w:val="20"/>
            <w:szCs w:val="20"/>
          </w:rPr>
          <w:t>Priporočilo o shranjevanju</w:t>
        </w:r>
      </w:hyperlink>
    </w:p>
    <w:p w:rsidR="00F64749" w:rsidRPr="00F64749" w:rsidRDefault="00F64749" w:rsidP="00F64749">
      <w:pPr>
        <w:pStyle w:val="Odstavekseznama"/>
        <w:numPr>
          <w:ilvl w:val="0"/>
          <w:numId w:val="1"/>
        </w:numPr>
        <w:jc w:val="both"/>
        <w:rPr>
          <w:rFonts w:ascii="Arial" w:hAnsi="Arial" w:cs="Arial"/>
          <w:sz w:val="20"/>
          <w:szCs w:val="20"/>
        </w:rPr>
      </w:pPr>
      <w:hyperlink r:id="rId10" w:history="1">
        <w:r w:rsidRPr="00F64749">
          <w:rPr>
            <w:rStyle w:val="Hiperpovezava"/>
            <w:rFonts w:ascii="Arial" w:hAnsi="Arial" w:cs="Arial"/>
            <w:sz w:val="20"/>
            <w:szCs w:val="20"/>
          </w:rPr>
          <w:t>Delovni dokument Evropske komisije o shranjevanju</w:t>
        </w:r>
      </w:hyperlink>
    </w:p>
    <w:p w:rsidR="00F64749" w:rsidRPr="00F64749" w:rsidRDefault="00F64749" w:rsidP="00483413">
      <w:pPr>
        <w:spacing w:after="0"/>
        <w:jc w:val="both"/>
        <w:rPr>
          <w:rFonts w:ascii="Arial" w:hAnsi="Arial" w:cs="Arial"/>
          <w:sz w:val="20"/>
          <w:szCs w:val="20"/>
        </w:rPr>
      </w:pPr>
      <w:r w:rsidRPr="00F64749">
        <w:rPr>
          <w:rFonts w:ascii="Arial" w:hAnsi="Arial" w:cs="Arial"/>
          <w:sz w:val="20"/>
          <w:szCs w:val="20"/>
        </w:rPr>
        <w:t>Pripravila:</w:t>
      </w:r>
    </w:p>
    <w:p w:rsidR="00F64749" w:rsidRPr="00F64749" w:rsidRDefault="00F64749" w:rsidP="00483413">
      <w:pPr>
        <w:spacing w:after="0"/>
        <w:jc w:val="both"/>
        <w:rPr>
          <w:rFonts w:ascii="Arial" w:hAnsi="Arial" w:cs="Arial"/>
          <w:sz w:val="20"/>
          <w:szCs w:val="20"/>
        </w:rPr>
      </w:pPr>
      <w:r w:rsidRPr="00F64749">
        <w:rPr>
          <w:rFonts w:ascii="Arial" w:hAnsi="Arial" w:cs="Arial"/>
          <w:sz w:val="20"/>
          <w:szCs w:val="20"/>
        </w:rPr>
        <w:t>Darja Kocbek</w:t>
      </w:r>
    </w:p>
    <w:sectPr w:rsidR="00F64749" w:rsidRPr="00F64749" w:rsidSect="00432F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2CCF"/>
    <w:multiLevelType w:val="hybridMultilevel"/>
    <w:tmpl w:val="9C563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16E"/>
    <w:rsid w:val="0010516E"/>
    <w:rsid w:val="002E48FC"/>
    <w:rsid w:val="00432F67"/>
    <w:rsid w:val="00483413"/>
    <w:rsid w:val="00F64749"/>
    <w:rsid w:val="00F845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32F67"/>
  </w:style>
  <w:style w:type="paragraph" w:styleId="Naslov2">
    <w:name w:val="heading 2"/>
    <w:basedOn w:val="Navaden"/>
    <w:link w:val="Naslov2Znak"/>
    <w:uiPriority w:val="9"/>
    <w:qFormat/>
    <w:rsid w:val="00F8454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0516E"/>
    <w:rPr>
      <w:color w:val="0000FF"/>
      <w:u w:val="single"/>
    </w:rPr>
  </w:style>
  <w:style w:type="character" w:styleId="Krepko">
    <w:name w:val="Strong"/>
    <w:basedOn w:val="Privzetapisavaodstavka"/>
    <w:uiPriority w:val="22"/>
    <w:qFormat/>
    <w:rsid w:val="002E48FC"/>
    <w:rPr>
      <w:b/>
      <w:bCs/>
    </w:rPr>
  </w:style>
  <w:style w:type="paragraph" w:styleId="Odstavekseznama">
    <w:name w:val="List Paragraph"/>
    <w:basedOn w:val="Navaden"/>
    <w:uiPriority w:val="34"/>
    <w:qFormat/>
    <w:rsid w:val="00F64749"/>
    <w:pPr>
      <w:ind w:left="720"/>
      <w:contextualSpacing/>
    </w:pPr>
  </w:style>
  <w:style w:type="character" w:customStyle="1" w:styleId="Naslov2Znak">
    <w:name w:val="Naslov 2 Znak"/>
    <w:basedOn w:val="Privzetapisavaodstavka"/>
    <w:link w:val="Naslov2"/>
    <w:uiPriority w:val="9"/>
    <w:rsid w:val="00F8454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8454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45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ergy.ec.europa.eu/staff-working-document-reform-electricity-market-design_sl" TargetMode="External"/><Relationship Id="rId3" Type="http://schemas.openxmlformats.org/officeDocument/2006/relationships/settings" Target="settings.xml"/><Relationship Id="rId7" Type="http://schemas.openxmlformats.org/officeDocument/2006/relationships/hyperlink" Target="https://energy.ec.europa.eu/electricity-market-reform-consumers-and-annex_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electricity-market-reform-consumers-and-annex_s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nergy.ec.europa.eu/staff-working-document-energy-storage-underpinning-decarbonised-and-secure-eu-energy-system_sl" TargetMode="External"/><Relationship Id="rId4" Type="http://schemas.openxmlformats.org/officeDocument/2006/relationships/webSettings" Target="webSettings.xml"/><Relationship Id="rId9" Type="http://schemas.openxmlformats.org/officeDocument/2006/relationships/hyperlink" Target="https://energy.ec.europa.eu/recommendation-energy-storage-underpinning-decarbonised-and-secure-eu-energy-system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338</Words>
  <Characters>1933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2023-03-14T21:39:00Z</dcterms:created>
  <dcterms:modified xsi:type="dcterms:W3CDTF">2023-03-14T22:01:00Z</dcterms:modified>
</cp:coreProperties>
</file>