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B5" w:rsidRPr="00083714" w:rsidRDefault="00F00AB5" w:rsidP="00F00AB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AB5" w:rsidRDefault="00F00AB5" w:rsidP="00F00AB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F00AB5" w:rsidRPr="00083714" w:rsidRDefault="00F00AB5" w:rsidP="00F00AB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00AB5" w:rsidRPr="00083714" w:rsidRDefault="00F00AB5" w:rsidP="00F00AB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00AB5" w:rsidRDefault="00F00AB5" w:rsidP="00F00AB5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48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F00AB5" w:rsidRPr="00050C1F" w:rsidRDefault="00F00AB5" w:rsidP="00F00AB5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00AB5" w:rsidRDefault="00F00AB5" w:rsidP="00F00AB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Države članice so sprejel program Digitalna Evropa</w:t>
      </w:r>
    </w:p>
    <w:p w:rsidR="0091253B" w:rsidRPr="00A72503" w:rsidRDefault="00AE12D5" w:rsidP="00A72503">
      <w:pPr>
        <w:jc w:val="both"/>
        <w:rPr>
          <w:rFonts w:ascii="Arial" w:hAnsi="Arial" w:cs="Arial"/>
          <w:b/>
          <w:i/>
        </w:rPr>
      </w:pPr>
      <w:r w:rsidRPr="00A72503">
        <w:rPr>
          <w:rFonts w:ascii="Arial" w:hAnsi="Arial" w:cs="Arial"/>
          <w:b/>
          <w:i/>
        </w:rPr>
        <w:t xml:space="preserve">Države članice so v okviru Sveta EU sprejele  program Digitalna Evropa, ki bo podlaga za digitalno preobrazbo v EU. Njegov proračun v finančnem obdobju 2021-2027 znaša 7.588 milijonov evrov.  </w:t>
      </w:r>
      <w:r w:rsidR="00E76316" w:rsidRPr="00A72503">
        <w:rPr>
          <w:rFonts w:ascii="Arial" w:hAnsi="Arial" w:cs="Arial"/>
          <w:b/>
          <w:i/>
        </w:rPr>
        <w:t xml:space="preserve">Program bo dopolnjeval več drugih programov, ki podpirajo digitalno preobrazbo, med njimi sta program Obzorje Evropa in Instrument za povezovanje Evrope. Pred uveljavitvijo ga </w:t>
      </w:r>
      <w:r w:rsidRPr="00A72503">
        <w:rPr>
          <w:rFonts w:ascii="Arial" w:hAnsi="Arial" w:cs="Arial"/>
          <w:b/>
          <w:i/>
        </w:rPr>
        <w:t xml:space="preserve"> mora sprejeti še Evropski parlament. Člani lahko dobijo več informacij na SBRA.</w:t>
      </w:r>
    </w:p>
    <w:p w:rsidR="00AE12D5" w:rsidRPr="00A72503" w:rsidRDefault="00E76316" w:rsidP="00A72503">
      <w:pPr>
        <w:jc w:val="both"/>
        <w:rPr>
          <w:rFonts w:ascii="Arial" w:hAnsi="Arial" w:cs="Arial"/>
          <w:b/>
          <w:sz w:val="20"/>
          <w:szCs w:val="20"/>
        </w:rPr>
      </w:pPr>
      <w:r w:rsidRPr="00A72503">
        <w:rPr>
          <w:rFonts w:ascii="Arial" w:hAnsi="Arial" w:cs="Arial"/>
          <w:b/>
          <w:sz w:val="20"/>
          <w:szCs w:val="20"/>
        </w:rPr>
        <w:t>Tabela 1: Pet ključnih področij,  ki jih pokriva program Digitalna Evropa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E76316" w:rsidRPr="00A72503" w:rsidTr="00E76316">
        <w:tc>
          <w:tcPr>
            <w:tcW w:w="4606" w:type="dxa"/>
          </w:tcPr>
          <w:p w:rsidR="00E76316" w:rsidRPr="00041567" w:rsidRDefault="008A755F" w:rsidP="00A725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1567">
              <w:rPr>
                <w:rFonts w:ascii="Arial" w:hAnsi="Arial" w:cs="Arial"/>
                <w:b/>
                <w:sz w:val="20"/>
                <w:szCs w:val="20"/>
              </w:rPr>
              <w:t>Področje</w:t>
            </w:r>
          </w:p>
        </w:tc>
        <w:tc>
          <w:tcPr>
            <w:tcW w:w="4606" w:type="dxa"/>
          </w:tcPr>
          <w:p w:rsidR="00E76316" w:rsidRPr="00041567" w:rsidRDefault="008A755F" w:rsidP="00A725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1567">
              <w:rPr>
                <w:rFonts w:ascii="Arial" w:hAnsi="Arial" w:cs="Arial"/>
                <w:b/>
                <w:sz w:val="20"/>
                <w:szCs w:val="20"/>
              </w:rPr>
              <w:t>Okvirni znesek sredstev v finančnem obdobju 2021-2027 v evrih</w:t>
            </w:r>
          </w:p>
        </w:tc>
      </w:tr>
      <w:tr w:rsidR="00E76316" w:rsidRPr="00A72503" w:rsidTr="00E76316"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503">
              <w:rPr>
                <w:rFonts w:ascii="Arial" w:hAnsi="Arial" w:cs="Arial"/>
                <w:sz w:val="20"/>
                <w:szCs w:val="20"/>
              </w:rPr>
              <w:t>Visokozmogljivostno</w:t>
            </w:r>
            <w:proofErr w:type="spellEnd"/>
            <w:r w:rsidRPr="00A72503">
              <w:rPr>
                <w:rFonts w:ascii="Arial" w:hAnsi="Arial" w:cs="Arial"/>
                <w:sz w:val="20"/>
                <w:szCs w:val="20"/>
              </w:rPr>
              <w:t xml:space="preserve"> računalništvo</w:t>
            </w:r>
          </w:p>
        </w:tc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2,2 milijarde evrov</w:t>
            </w:r>
          </w:p>
        </w:tc>
      </w:tr>
      <w:tr w:rsidR="00E76316" w:rsidRPr="00A72503" w:rsidTr="00E76316"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Umetna inteligenca</w:t>
            </w:r>
          </w:p>
        </w:tc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2,1 milijarde evrov</w:t>
            </w:r>
          </w:p>
        </w:tc>
      </w:tr>
      <w:tr w:rsidR="00E76316" w:rsidRPr="00A72503" w:rsidTr="00E76316"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Kibernetska varnost in zaupanje</w:t>
            </w:r>
          </w:p>
        </w:tc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1,7 milijarde evrov</w:t>
            </w:r>
          </w:p>
        </w:tc>
      </w:tr>
      <w:tr w:rsidR="00E76316" w:rsidRPr="00A72503" w:rsidTr="00E76316"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Napredne digitalne veščine</w:t>
            </w:r>
          </w:p>
        </w:tc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577 milijonov evrov</w:t>
            </w:r>
          </w:p>
        </w:tc>
      </w:tr>
      <w:tr w:rsidR="00E76316" w:rsidRPr="00A72503" w:rsidTr="00E76316"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 xml:space="preserve">Uvajanje, optimalna uporaba digitalnih zmogljivosti in </w:t>
            </w:r>
            <w:proofErr w:type="spellStart"/>
            <w:r w:rsidRPr="00A72503">
              <w:rPr>
                <w:rFonts w:ascii="Arial" w:hAnsi="Arial" w:cs="Arial"/>
                <w:sz w:val="20"/>
                <w:szCs w:val="20"/>
              </w:rPr>
              <w:t>interoperabilnost</w:t>
            </w:r>
            <w:proofErr w:type="spellEnd"/>
          </w:p>
        </w:tc>
        <w:tc>
          <w:tcPr>
            <w:tcW w:w="4606" w:type="dxa"/>
          </w:tcPr>
          <w:p w:rsidR="00E76316" w:rsidRPr="00A72503" w:rsidRDefault="008A755F" w:rsidP="00A72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503">
              <w:rPr>
                <w:rFonts w:ascii="Arial" w:hAnsi="Arial" w:cs="Arial"/>
                <w:sz w:val="20"/>
                <w:szCs w:val="20"/>
              </w:rPr>
              <w:t>1,1 milijarde evrov</w:t>
            </w:r>
          </w:p>
        </w:tc>
      </w:tr>
    </w:tbl>
    <w:p w:rsidR="00E76316" w:rsidRPr="00A72503" w:rsidRDefault="008A755F" w:rsidP="00A72503">
      <w:pPr>
        <w:jc w:val="both"/>
        <w:rPr>
          <w:rFonts w:ascii="Arial" w:hAnsi="Arial" w:cs="Arial"/>
          <w:sz w:val="20"/>
          <w:szCs w:val="20"/>
        </w:rPr>
      </w:pPr>
      <w:r w:rsidRPr="00A72503">
        <w:rPr>
          <w:rFonts w:ascii="Arial" w:hAnsi="Arial" w:cs="Arial"/>
          <w:sz w:val="20"/>
          <w:szCs w:val="20"/>
        </w:rPr>
        <w:t>Vir: Svet EU</w:t>
      </w:r>
    </w:p>
    <w:p w:rsidR="008A755F" w:rsidRPr="00A72503" w:rsidRDefault="008A755F" w:rsidP="00A72503">
      <w:pPr>
        <w:jc w:val="both"/>
        <w:rPr>
          <w:rFonts w:ascii="Arial" w:hAnsi="Arial" w:cs="Arial"/>
          <w:sz w:val="20"/>
          <w:szCs w:val="20"/>
        </w:rPr>
      </w:pPr>
      <w:r w:rsidRPr="00A72503">
        <w:rPr>
          <w:rFonts w:ascii="Arial" w:hAnsi="Arial" w:cs="Arial"/>
          <w:sz w:val="20"/>
          <w:szCs w:val="20"/>
        </w:rPr>
        <w:t>Program bodo sofinancirale države članice, po potrebi pa tudi zasebni sektor. Stopnja sofinanciranja bo določena v delovnih programih. Nepovratna sredstva iz programa lahko krijejo do 100 odstotkov upravičenih stroškov.</w:t>
      </w:r>
    </w:p>
    <w:p w:rsidR="008A755F" w:rsidRPr="00A72503" w:rsidRDefault="008A755F" w:rsidP="00A72503">
      <w:pPr>
        <w:jc w:val="both"/>
        <w:rPr>
          <w:rFonts w:ascii="Arial" w:hAnsi="Arial" w:cs="Arial"/>
          <w:sz w:val="20"/>
          <w:szCs w:val="20"/>
        </w:rPr>
      </w:pPr>
      <w:r w:rsidRPr="00A72503">
        <w:rPr>
          <w:rFonts w:ascii="Arial" w:hAnsi="Arial" w:cs="Arial"/>
          <w:sz w:val="20"/>
          <w:szCs w:val="20"/>
        </w:rPr>
        <w:t xml:space="preserve">Predvideno je, da se bodo prek mreže evropskih vozlišč za digitalne inovacije industrija, podjetja in uprave, ki potrebujejo nove tehnološke rešitve, povezali s podjetji, ki že imajo tržno izvedljive rešitve. </w:t>
      </w:r>
    </w:p>
    <w:p w:rsidR="008A755F" w:rsidRPr="00041567" w:rsidRDefault="008A755F" w:rsidP="00A72503">
      <w:pPr>
        <w:jc w:val="both"/>
        <w:rPr>
          <w:rFonts w:ascii="Arial" w:hAnsi="Arial" w:cs="Arial"/>
          <w:b/>
          <w:sz w:val="20"/>
          <w:szCs w:val="20"/>
        </w:rPr>
      </w:pPr>
      <w:r w:rsidRPr="00041567">
        <w:rPr>
          <w:rFonts w:ascii="Arial" w:hAnsi="Arial" w:cs="Arial"/>
          <w:b/>
          <w:sz w:val="20"/>
          <w:szCs w:val="20"/>
        </w:rPr>
        <w:t>Koristne informacije:</w:t>
      </w:r>
    </w:p>
    <w:p w:rsidR="008A755F" w:rsidRPr="00041567" w:rsidRDefault="00E44789" w:rsidP="000415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1567">
        <w:rPr>
          <w:rFonts w:ascii="Arial" w:hAnsi="Arial" w:cs="Arial"/>
          <w:sz w:val="20"/>
          <w:szCs w:val="20"/>
        </w:rPr>
        <w:t>Predlog uredbe:</w:t>
      </w:r>
    </w:p>
    <w:p w:rsidR="00E44789" w:rsidRPr="00041567" w:rsidRDefault="00E44789" w:rsidP="000415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41567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https://data.consilium.europa.eu/doc/document/ST-6789-2020-INIT/sl/pdf</w:t>
        </w:r>
      </w:hyperlink>
    </w:p>
    <w:p w:rsidR="00E44789" w:rsidRPr="00041567" w:rsidRDefault="00E44789" w:rsidP="000415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1567">
        <w:rPr>
          <w:rFonts w:ascii="Arial" w:hAnsi="Arial" w:cs="Arial"/>
          <w:sz w:val="20"/>
          <w:szCs w:val="20"/>
        </w:rPr>
        <w:t>Spletna stran z informacijami o programu Digitalna Evropa:</w:t>
      </w:r>
    </w:p>
    <w:p w:rsidR="00E44789" w:rsidRPr="00041567" w:rsidRDefault="00E44789" w:rsidP="0004156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41567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https://ec.europa.eu/digital-single-market/en/europe-investing-digital-digital-europe-programme</w:t>
        </w:r>
      </w:hyperlink>
    </w:p>
    <w:p w:rsidR="00E44789" w:rsidRPr="00A72503" w:rsidRDefault="00E44789" w:rsidP="000415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2503">
        <w:rPr>
          <w:rFonts w:ascii="Arial" w:hAnsi="Arial" w:cs="Arial"/>
          <w:sz w:val="20"/>
          <w:szCs w:val="20"/>
        </w:rPr>
        <w:t>Pripravila:</w:t>
      </w:r>
    </w:p>
    <w:p w:rsidR="00E44789" w:rsidRPr="00A72503" w:rsidRDefault="00E44789" w:rsidP="000415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2503">
        <w:rPr>
          <w:rFonts w:ascii="Arial" w:hAnsi="Arial" w:cs="Arial"/>
          <w:sz w:val="20"/>
          <w:szCs w:val="20"/>
        </w:rPr>
        <w:t>Darja Kocbek</w:t>
      </w:r>
    </w:p>
    <w:sectPr w:rsidR="00E44789" w:rsidRPr="00A72503" w:rsidSect="0091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4620"/>
    <w:multiLevelType w:val="hybridMultilevel"/>
    <w:tmpl w:val="16566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2D5"/>
    <w:rsid w:val="00041567"/>
    <w:rsid w:val="008A755F"/>
    <w:rsid w:val="0091253B"/>
    <w:rsid w:val="00A72503"/>
    <w:rsid w:val="00AE12D5"/>
    <w:rsid w:val="00E44789"/>
    <w:rsid w:val="00E76316"/>
    <w:rsid w:val="00F0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253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0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76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8A755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447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4156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00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europe-investing-digital-digital-europe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onsilium.europa.eu/doc/document/ST-6789-2020-INIT/sl/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2021-03-18T08:54:00Z</dcterms:created>
  <dcterms:modified xsi:type="dcterms:W3CDTF">2021-03-18T09:19:00Z</dcterms:modified>
</cp:coreProperties>
</file>