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19" w:rsidRPr="00467345" w:rsidRDefault="00C03019" w:rsidP="00C03019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019" w:rsidRPr="00083714" w:rsidRDefault="00C03019" w:rsidP="00C03019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03019" w:rsidRPr="00083714" w:rsidRDefault="00C03019" w:rsidP="00C03019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C03019" w:rsidRDefault="00C03019" w:rsidP="00C03019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47 </w:t>
      </w:r>
      <w:r w:rsidRPr="00083714">
        <w:rPr>
          <w:b/>
        </w:rPr>
        <w:t>– 20</w:t>
      </w:r>
      <w:r>
        <w:rPr>
          <w:b/>
        </w:rPr>
        <w:t>22</w:t>
      </w:r>
    </w:p>
    <w:p w:rsidR="00C03019" w:rsidRPr="0084452F" w:rsidRDefault="00C03019" w:rsidP="00C03019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21. marec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C03019" w:rsidRDefault="00C03019" w:rsidP="00C0301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Napoved </w:t>
      </w:r>
      <w:r w:rsidR="005344F0">
        <w:rPr>
          <w:b/>
          <w:color w:val="993300"/>
          <w:sz w:val="32"/>
          <w:szCs w:val="32"/>
        </w:rPr>
        <w:t xml:space="preserve">konference in </w:t>
      </w:r>
      <w:r>
        <w:rPr>
          <w:b/>
          <w:color w:val="993300"/>
          <w:sz w:val="32"/>
          <w:szCs w:val="32"/>
        </w:rPr>
        <w:t xml:space="preserve">prvega razpisa programa </w:t>
      </w:r>
      <w:proofErr w:type="spellStart"/>
      <w:r>
        <w:rPr>
          <w:b/>
          <w:color w:val="993300"/>
          <w:sz w:val="32"/>
          <w:szCs w:val="32"/>
        </w:rPr>
        <w:t>Interreg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Europe</w:t>
      </w:r>
      <w:proofErr w:type="spellEnd"/>
      <w:r>
        <w:rPr>
          <w:b/>
          <w:color w:val="993300"/>
          <w:sz w:val="32"/>
          <w:szCs w:val="32"/>
        </w:rPr>
        <w:t xml:space="preserve"> 2021-2027</w:t>
      </w:r>
    </w:p>
    <w:p w:rsidR="00865F29" w:rsidRPr="00D43F07" w:rsidRDefault="005F65E8" w:rsidP="00D43F07">
      <w:pPr>
        <w:jc w:val="both"/>
        <w:rPr>
          <w:rFonts w:ascii="Arial" w:hAnsi="Arial" w:cs="Arial"/>
          <w:b/>
          <w:i/>
        </w:rPr>
      </w:pPr>
      <w:r w:rsidRPr="00D43F07">
        <w:rPr>
          <w:rFonts w:ascii="Arial" w:hAnsi="Arial" w:cs="Arial"/>
          <w:b/>
          <w:i/>
        </w:rPr>
        <w:t xml:space="preserve">V okviru konference »Evropa, sodelujmo! </w:t>
      </w:r>
      <w:proofErr w:type="spellStart"/>
      <w:r w:rsidRPr="00D43F07">
        <w:rPr>
          <w:rFonts w:ascii="Arial" w:hAnsi="Arial" w:cs="Arial"/>
          <w:b/>
          <w:i/>
        </w:rPr>
        <w:t>Medregionalni</w:t>
      </w:r>
      <w:proofErr w:type="spellEnd"/>
      <w:r w:rsidRPr="00D43F07">
        <w:rPr>
          <w:rFonts w:ascii="Arial" w:hAnsi="Arial" w:cs="Arial"/>
          <w:b/>
          <w:i/>
        </w:rPr>
        <w:t xml:space="preserve"> forum o sodelovanju«, ki bo 5. aprila organizirana kot spletni dogodek, bo objavljen prvi razpis za zbiranje predlogov projektov programa </w:t>
      </w:r>
      <w:proofErr w:type="spellStart"/>
      <w:r w:rsidRPr="00D43F07">
        <w:rPr>
          <w:rFonts w:ascii="Arial" w:hAnsi="Arial" w:cs="Arial"/>
          <w:b/>
          <w:i/>
        </w:rPr>
        <w:t>Interreg</w:t>
      </w:r>
      <w:proofErr w:type="spellEnd"/>
      <w:r w:rsidRPr="00D43F07">
        <w:rPr>
          <w:rFonts w:ascii="Arial" w:hAnsi="Arial" w:cs="Arial"/>
          <w:b/>
          <w:i/>
        </w:rPr>
        <w:t xml:space="preserve"> </w:t>
      </w:r>
      <w:proofErr w:type="spellStart"/>
      <w:r w:rsidRPr="00D43F07">
        <w:rPr>
          <w:rFonts w:ascii="Arial" w:hAnsi="Arial" w:cs="Arial"/>
          <w:b/>
          <w:i/>
        </w:rPr>
        <w:t>Europe</w:t>
      </w:r>
      <w:proofErr w:type="spellEnd"/>
      <w:r w:rsidRPr="00D43F07">
        <w:rPr>
          <w:rFonts w:ascii="Arial" w:hAnsi="Arial" w:cs="Arial"/>
          <w:b/>
          <w:i/>
        </w:rPr>
        <w:t xml:space="preserve"> v obdobju 2021-2027. </w:t>
      </w:r>
      <w:r w:rsidR="00480922" w:rsidRPr="00D43F07">
        <w:rPr>
          <w:rFonts w:ascii="Arial" w:hAnsi="Arial" w:cs="Arial"/>
          <w:b/>
          <w:i/>
        </w:rPr>
        <w:t xml:space="preserve">Razpis bo odprt do 31. maja. </w:t>
      </w:r>
      <w:r w:rsidR="009A3786" w:rsidRPr="00D43F07">
        <w:rPr>
          <w:rFonts w:ascii="Arial" w:hAnsi="Arial" w:cs="Arial"/>
          <w:b/>
          <w:i/>
        </w:rPr>
        <w:t>Organizatorji obljubljajo, da bo na konferenci mogoče dobiti podrobnejše informacije o razpisu in nasvete za pripravo predlogov projektov, na voljo bodo možnosti za mreženje. Prijave za udeležbo na konferenci so že odprte. Člani lahko dobijo podrobnejše informacije o razpisu tudi na SBRA.</w:t>
      </w:r>
    </w:p>
    <w:p w:rsidR="003F5F13" w:rsidRPr="00D43F07" w:rsidRDefault="009A3786" w:rsidP="00D43F07">
      <w:pPr>
        <w:jc w:val="both"/>
        <w:rPr>
          <w:rFonts w:ascii="Arial" w:hAnsi="Arial" w:cs="Arial"/>
          <w:sz w:val="20"/>
          <w:szCs w:val="20"/>
        </w:rPr>
      </w:pPr>
      <w:r w:rsidRPr="00D43F07">
        <w:rPr>
          <w:rFonts w:ascii="Arial" w:hAnsi="Arial" w:cs="Arial"/>
          <w:sz w:val="20"/>
          <w:szCs w:val="20"/>
        </w:rPr>
        <w:t>Na voljo je možnost za spletne sestanke 1 na 1. Prijave zanje bodo sprejemali do zasedbe prostih mest. Konferenca je tudi priložnost za predstavitev idej za izvedbo projektov</w:t>
      </w:r>
      <w:r w:rsidR="003F5F13" w:rsidRPr="00D43F07">
        <w:rPr>
          <w:rFonts w:ascii="Arial" w:hAnsi="Arial" w:cs="Arial"/>
          <w:sz w:val="20"/>
          <w:szCs w:val="20"/>
        </w:rPr>
        <w:t xml:space="preserve"> potencialnim partnerjem iz drugih regij. Projektne ideje bo mogoče predstaviti na virtualni razstavi. Udeleženci konference se bodo prek spletnih stojnic lahko povezali z lastniki projektnih idej. Projektne ideje za predstavitev v okviru konference morajo biti povezane z eno od tem programa </w:t>
      </w:r>
      <w:proofErr w:type="spellStart"/>
      <w:r w:rsidR="003F5F13" w:rsidRPr="00D43F07">
        <w:rPr>
          <w:rFonts w:ascii="Arial" w:hAnsi="Arial" w:cs="Arial"/>
          <w:sz w:val="20"/>
          <w:szCs w:val="20"/>
        </w:rPr>
        <w:t>Interreg</w:t>
      </w:r>
      <w:proofErr w:type="spellEnd"/>
      <w:r w:rsidR="003F5F13" w:rsidRPr="00D43F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5F13" w:rsidRPr="00D43F07">
        <w:rPr>
          <w:rFonts w:ascii="Arial" w:hAnsi="Arial" w:cs="Arial"/>
          <w:sz w:val="20"/>
          <w:szCs w:val="20"/>
        </w:rPr>
        <w:t>Europe</w:t>
      </w:r>
      <w:proofErr w:type="spellEnd"/>
      <w:r w:rsidR="003F5F13" w:rsidRPr="00D43F07">
        <w:rPr>
          <w:rFonts w:ascii="Arial" w:hAnsi="Arial" w:cs="Arial"/>
          <w:sz w:val="20"/>
          <w:szCs w:val="20"/>
        </w:rPr>
        <w:t xml:space="preserve"> 2021-2027. Te so: pametno, zeleno, povezano, </w:t>
      </w:r>
      <w:r w:rsidR="00290D31" w:rsidRPr="00D43F07">
        <w:rPr>
          <w:rFonts w:ascii="Arial" w:hAnsi="Arial" w:cs="Arial"/>
          <w:sz w:val="20"/>
          <w:szCs w:val="20"/>
        </w:rPr>
        <w:t>socialno in</w:t>
      </w:r>
      <w:r w:rsidR="003F5F13" w:rsidRPr="00D43F07">
        <w:rPr>
          <w:rFonts w:ascii="Arial" w:hAnsi="Arial" w:cs="Arial"/>
          <w:sz w:val="20"/>
          <w:szCs w:val="20"/>
        </w:rPr>
        <w:t xml:space="preserve"> državljani.</w:t>
      </w:r>
    </w:p>
    <w:p w:rsidR="00480922" w:rsidRPr="00D43F07" w:rsidRDefault="00480922" w:rsidP="00D43F07">
      <w:pPr>
        <w:jc w:val="both"/>
        <w:rPr>
          <w:rFonts w:ascii="Arial" w:hAnsi="Arial" w:cs="Arial"/>
          <w:b/>
          <w:sz w:val="20"/>
          <w:szCs w:val="20"/>
        </w:rPr>
      </w:pPr>
      <w:r w:rsidRPr="00D43F07">
        <w:rPr>
          <w:rFonts w:ascii="Arial" w:hAnsi="Arial" w:cs="Arial"/>
          <w:b/>
          <w:sz w:val="20"/>
          <w:szCs w:val="20"/>
        </w:rPr>
        <w:t xml:space="preserve">Tabela 1: </w:t>
      </w:r>
      <w:r w:rsidR="0082017B" w:rsidRPr="00D43F07">
        <w:rPr>
          <w:rFonts w:ascii="Arial" w:hAnsi="Arial" w:cs="Arial"/>
          <w:b/>
          <w:sz w:val="20"/>
          <w:szCs w:val="20"/>
        </w:rPr>
        <w:t>Teme in  cilji programa</w:t>
      </w:r>
      <w:r w:rsidR="00D43F07" w:rsidRPr="00D43F07">
        <w:rPr>
          <w:rFonts w:ascii="Arial" w:hAnsi="Arial" w:cs="Arial"/>
          <w:b/>
          <w:sz w:val="20"/>
          <w:szCs w:val="20"/>
        </w:rPr>
        <w:t xml:space="preserve"> 2021-2027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82017B" w:rsidRPr="00D43F07" w:rsidTr="0082017B">
        <w:tc>
          <w:tcPr>
            <w:tcW w:w="4606" w:type="dxa"/>
          </w:tcPr>
          <w:p w:rsidR="0082017B" w:rsidRPr="00D43F07" w:rsidRDefault="0082017B" w:rsidP="00D43F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F07">
              <w:rPr>
                <w:rFonts w:ascii="Arial" w:hAnsi="Arial" w:cs="Arial"/>
                <w:b/>
                <w:sz w:val="20"/>
                <w:szCs w:val="20"/>
              </w:rPr>
              <w:t>Teme</w:t>
            </w:r>
          </w:p>
        </w:tc>
        <w:tc>
          <w:tcPr>
            <w:tcW w:w="4606" w:type="dxa"/>
          </w:tcPr>
          <w:p w:rsidR="0082017B" w:rsidRPr="00D43F07" w:rsidRDefault="0082017B" w:rsidP="00D43F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F07">
              <w:rPr>
                <w:rFonts w:ascii="Arial" w:hAnsi="Arial" w:cs="Arial"/>
                <w:b/>
                <w:sz w:val="20"/>
                <w:szCs w:val="20"/>
              </w:rPr>
              <w:t>Cilji</w:t>
            </w:r>
          </w:p>
        </w:tc>
      </w:tr>
      <w:tr w:rsidR="0082017B" w:rsidRPr="00D43F07" w:rsidTr="0082017B">
        <w:tc>
          <w:tcPr>
            <w:tcW w:w="4606" w:type="dxa"/>
          </w:tcPr>
          <w:p w:rsidR="0082017B" w:rsidRPr="00D43F07" w:rsidRDefault="0082017B" w:rsidP="00D43F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F07">
              <w:rPr>
                <w:rFonts w:ascii="Arial" w:hAnsi="Arial" w:cs="Arial"/>
                <w:b/>
                <w:sz w:val="20"/>
                <w:szCs w:val="20"/>
              </w:rPr>
              <w:t>Pametno</w:t>
            </w:r>
          </w:p>
        </w:tc>
        <w:tc>
          <w:tcPr>
            <w:tcW w:w="4606" w:type="dxa"/>
          </w:tcPr>
          <w:p w:rsidR="0082017B" w:rsidRDefault="0082017B" w:rsidP="005344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4F0">
              <w:rPr>
                <w:rFonts w:ascii="Arial" w:hAnsi="Arial" w:cs="Arial"/>
                <w:sz w:val="20"/>
                <w:szCs w:val="20"/>
              </w:rPr>
              <w:t>Raziskovalne in inovacijske zmogljivosti, uporaba naprednih tehnologij</w:t>
            </w:r>
          </w:p>
          <w:p w:rsidR="005344F0" w:rsidRPr="005344F0" w:rsidRDefault="005344F0" w:rsidP="005344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017B" w:rsidRDefault="0082017B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>Digitalizacija za državljane, podjetja, raziskovalne organizacije in javne organe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017B" w:rsidRDefault="0082017B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>Trajnostna rast in konkurenčnost malih in srednjih podjetij, ustvarjanje novih delovnih mest v malih in srednjih podjetjih vključno s produktivnimi naložbami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017B" w:rsidRDefault="0082017B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>Znanja in spretnosti za pametno specializacijo, industrijski prehod in podjetništvo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017B" w:rsidRDefault="0082017B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>Digitalna povezljivost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17B" w:rsidRPr="00D43F07" w:rsidTr="0082017B">
        <w:tc>
          <w:tcPr>
            <w:tcW w:w="4606" w:type="dxa"/>
          </w:tcPr>
          <w:p w:rsidR="005344F0" w:rsidRDefault="005344F0" w:rsidP="00D43F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017B" w:rsidRDefault="0082017B" w:rsidP="00D43F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F07">
              <w:rPr>
                <w:rFonts w:ascii="Arial" w:hAnsi="Arial" w:cs="Arial"/>
                <w:b/>
                <w:sz w:val="20"/>
                <w:szCs w:val="20"/>
              </w:rPr>
              <w:lastRenderedPageBreak/>
              <w:t>Zeleno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5344F0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017B" w:rsidRPr="005344F0" w:rsidRDefault="0082017B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4F0">
              <w:rPr>
                <w:rFonts w:ascii="Arial" w:hAnsi="Arial" w:cs="Arial"/>
                <w:sz w:val="20"/>
                <w:szCs w:val="20"/>
              </w:rPr>
              <w:lastRenderedPageBreak/>
              <w:t>Energetska učinkovitost in zmanjšanje izpustov toplogrednih plinov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017B" w:rsidRDefault="0082017B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>Obnovljivi viri energije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017B" w:rsidRPr="00D43F07" w:rsidRDefault="0082017B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>Pametni energetski sistemi, omrežja in skladišča</w:t>
            </w:r>
          </w:p>
          <w:p w:rsidR="0082017B" w:rsidRDefault="0082017B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>Prilagoditev na podnebne spremembe, zmanjšanje tveganja za nesreče, odpornost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017B" w:rsidRDefault="0082017B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>Dostop do vode in trajnostno upravljanje z vodo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017B" w:rsidRDefault="0082017B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>Krožno in s surovinami učinkovito gospodarstvo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017B" w:rsidRDefault="0082017B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>Varstvo in ohranjanje narave in biotske raznovrstnosti, zelena infrastruktura, zmanjšanje onesnaževanja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017B" w:rsidRDefault="0082017B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 xml:space="preserve">Trajnostna urbana mobilnost za </w:t>
            </w:r>
            <w:proofErr w:type="spellStart"/>
            <w:r w:rsidRPr="00D43F07">
              <w:rPr>
                <w:rFonts w:ascii="Arial" w:hAnsi="Arial" w:cs="Arial"/>
                <w:sz w:val="20"/>
                <w:szCs w:val="20"/>
              </w:rPr>
              <w:t>ničogljično</w:t>
            </w:r>
            <w:proofErr w:type="spellEnd"/>
            <w:r w:rsidRPr="00D43F07">
              <w:rPr>
                <w:rFonts w:ascii="Arial" w:hAnsi="Arial" w:cs="Arial"/>
                <w:sz w:val="20"/>
                <w:szCs w:val="20"/>
              </w:rPr>
              <w:t xml:space="preserve"> gospodarstvo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17B" w:rsidRPr="00D43F07" w:rsidTr="0082017B">
        <w:tc>
          <w:tcPr>
            <w:tcW w:w="4606" w:type="dxa"/>
          </w:tcPr>
          <w:p w:rsidR="0082017B" w:rsidRPr="00D43F07" w:rsidRDefault="00290D31" w:rsidP="00D43F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F07">
              <w:rPr>
                <w:rFonts w:ascii="Arial" w:hAnsi="Arial" w:cs="Arial"/>
                <w:b/>
                <w:sz w:val="20"/>
                <w:szCs w:val="20"/>
              </w:rPr>
              <w:lastRenderedPageBreak/>
              <w:t>Socialno</w:t>
            </w:r>
          </w:p>
        </w:tc>
        <w:tc>
          <w:tcPr>
            <w:tcW w:w="4606" w:type="dxa"/>
          </w:tcPr>
          <w:p w:rsidR="0082017B" w:rsidRDefault="00290D31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>Učinkovitost in vključenost trga dela, dostop do kakovostnih zaposlitev, socialno gospodarstvo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0D31" w:rsidRDefault="00290D31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>Enake možnosti za  dostop do zdravstvenega varstva, odpornost zdravstvenih sistemov, oskrba, ki temelji na družini in skupnosti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0D31" w:rsidRDefault="00290D31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>Kultura in turizem za gospodarski razvoj, socialno vključenost in socialne inovacije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0D31" w:rsidRDefault="00290D31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>Dostop do izobraževanja, usposabljanja in vseživljenjskega učenja, učenje in usposabljanje na daljavo in prek spleta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0D31" w:rsidRDefault="00290D31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>Vključevanje marginaliziranih skupnosti, družin z nizkimi prihodki in prikrajšanih skupin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0D31" w:rsidRDefault="00290D31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>Družbeno-ekonomska integracija državljanov tretjih držav in migrantov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17B" w:rsidRPr="00D43F07" w:rsidTr="0082017B">
        <w:tc>
          <w:tcPr>
            <w:tcW w:w="4606" w:type="dxa"/>
          </w:tcPr>
          <w:p w:rsidR="0082017B" w:rsidRPr="00D43F07" w:rsidRDefault="00290D31" w:rsidP="00D43F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F07">
              <w:rPr>
                <w:rFonts w:ascii="Arial" w:hAnsi="Arial" w:cs="Arial"/>
                <w:b/>
                <w:sz w:val="20"/>
                <w:szCs w:val="20"/>
              </w:rPr>
              <w:t>Povezano</w:t>
            </w:r>
          </w:p>
        </w:tc>
        <w:tc>
          <w:tcPr>
            <w:tcW w:w="4606" w:type="dxa"/>
          </w:tcPr>
          <w:p w:rsidR="0082017B" w:rsidRDefault="00290D31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>Podnebno odporno, inteligentno, varn</w:t>
            </w:r>
            <w:r w:rsidR="005344F0">
              <w:rPr>
                <w:rFonts w:ascii="Arial" w:hAnsi="Arial" w:cs="Arial"/>
                <w:sz w:val="20"/>
                <w:szCs w:val="20"/>
              </w:rPr>
              <w:t>o, trajnostno i</w:t>
            </w:r>
            <w:r w:rsidRPr="00D43F07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r w:rsidRPr="00D43F07">
              <w:rPr>
                <w:rFonts w:ascii="Arial" w:hAnsi="Arial" w:cs="Arial"/>
                <w:sz w:val="20"/>
                <w:szCs w:val="20"/>
              </w:rPr>
              <w:t>intemodalno</w:t>
            </w:r>
            <w:proofErr w:type="spellEnd"/>
            <w:r w:rsidRPr="00D43F07">
              <w:rPr>
                <w:rFonts w:ascii="Arial" w:hAnsi="Arial" w:cs="Arial"/>
                <w:sz w:val="20"/>
                <w:szCs w:val="20"/>
              </w:rPr>
              <w:t xml:space="preserve"> omrežje TEN-T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0D31" w:rsidRDefault="00290D31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 xml:space="preserve">Trajnostna, podnebno odporna, inteligentna in </w:t>
            </w:r>
            <w:proofErr w:type="spellStart"/>
            <w:r w:rsidRPr="00D43F07">
              <w:rPr>
                <w:rFonts w:ascii="Arial" w:hAnsi="Arial" w:cs="Arial"/>
                <w:sz w:val="20"/>
                <w:szCs w:val="20"/>
              </w:rPr>
              <w:t>intermodalna</w:t>
            </w:r>
            <w:proofErr w:type="spellEnd"/>
            <w:r w:rsidRPr="00D43F07">
              <w:rPr>
                <w:rFonts w:ascii="Arial" w:hAnsi="Arial" w:cs="Arial"/>
                <w:sz w:val="20"/>
                <w:szCs w:val="20"/>
              </w:rPr>
              <w:t xml:space="preserve"> nacionalna, regionalna in lokalna mobilnost </w:t>
            </w:r>
          </w:p>
          <w:p w:rsidR="005344F0" w:rsidRPr="00D43F07" w:rsidRDefault="005344F0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17B" w:rsidRPr="00D43F07" w:rsidTr="0082017B">
        <w:tc>
          <w:tcPr>
            <w:tcW w:w="4606" w:type="dxa"/>
          </w:tcPr>
          <w:p w:rsidR="0082017B" w:rsidRPr="00D43F07" w:rsidRDefault="00290D31" w:rsidP="00D43F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F07">
              <w:rPr>
                <w:rFonts w:ascii="Arial" w:hAnsi="Arial" w:cs="Arial"/>
                <w:b/>
                <w:sz w:val="20"/>
                <w:szCs w:val="20"/>
              </w:rPr>
              <w:t>Državljani</w:t>
            </w:r>
          </w:p>
        </w:tc>
        <w:tc>
          <w:tcPr>
            <w:tcW w:w="4606" w:type="dxa"/>
          </w:tcPr>
          <w:p w:rsidR="00363D8F" w:rsidRPr="00D43F07" w:rsidRDefault="00363D8F" w:rsidP="00D43F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07">
              <w:rPr>
                <w:rFonts w:ascii="Arial" w:hAnsi="Arial" w:cs="Arial"/>
                <w:sz w:val="20"/>
                <w:szCs w:val="20"/>
              </w:rPr>
              <w:t xml:space="preserve">Trajnostni teritorialni razvoj, kultura, naravna dediščina, trajnostni turizem in varnost </w:t>
            </w:r>
          </w:p>
        </w:tc>
      </w:tr>
    </w:tbl>
    <w:p w:rsidR="0082017B" w:rsidRPr="00D43F07" w:rsidRDefault="00363D8F" w:rsidP="00D43F07">
      <w:pPr>
        <w:jc w:val="both"/>
        <w:rPr>
          <w:rFonts w:ascii="Arial" w:hAnsi="Arial" w:cs="Arial"/>
          <w:sz w:val="20"/>
          <w:szCs w:val="20"/>
        </w:rPr>
      </w:pPr>
      <w:r w:rsidRPr="00D43F07">
        <w:rPr>
          <w:rFonts w:ascii="Arial" w:hAnsi="Arial" w:cs="Arial"/>
          <w:sz w:val="20"/>
          <w:szCs w:val="20"/>
        </w:rPr>
        <w:t>Vir: Program 2021-2027</w:t>
      </w:r>
    </w:p>
    <w:p w:rsidR="0008350B" w:rsidRPr="00D43F07" w:rsidRDefault="0008350B" w:rsidP="00D43F07">
      <w:pPr>
        <w:jc w:val="both"/>
        <w:rPr>
          <w:rFonts w:ascii="Arial" w:hAnsi="Arial" w:cs="Arial"/>
          <w:b/>
          <w:sz w:val="20"/>
          <w:szCs w:val="20"/>
        </w:rPr>
      </w:pPr>
      <w:r w:rsidRPr="00D43F07">
        <w:rPr>
          <w:rFonts w:ascii="Arial" w:hAnsi="Arial" w:cs="Arial"/>
          <w:b/>
          <w:sz w:val="20"/>
          <w:szCs w:val="20"/>
        </w:rPr>
        <w:t>Koristne informacije:</w:t>
      </w:r>
    </w:p>
    <w:p w:rsidR="0008350B" w:rsidRPr="00D43F07" w:rsidRDefault="0008350B" w:rsidP="00D43F07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43F07">
        <w:rPr>
          <w:rFonts w:ascii="Arial" w:hAnsi="Arial" w:cs="Arial"/>
          <w:sz w:val="20"/>
          <w:szCs w:val="20"/>
        </w:rPr>
        <w:t>Spletna stran z informacijami o konferenci:</w:t>
      </w:r>
    </w:p>
    <w:p w:rsidR="0008350B" w:rsidRPr="00D43F07" w:rsidRDefault="0008350B" w:rsidP="00D43F07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D43F07">
          <w:rPr>
            <w:rStyle w:val="Hiperpovezava"/>
            <w:rFonts w:ascii="Arial" w:hAnsi="Arial" w:cs="Arial"/>
            <w:sz w:val="20"/>
            <w:szCs w:val="20"/>
          </w:rPr>
          <w:t>https://hopin.com/events/europe-let-s-cooperate-2022/registration</w:t>
        </w:r>
      </w:hyperlink>
    </w:p>
    <w:p w:rsidR="0008350B" w:rsidRPr="00D43F07" w:rsidRDefault="0008350B" w:rsidP="00D43F07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43F07">
        <w:rPr>
          <w:rFonts w:ascii="Arial" w:hAnsi="Arial" w:cs="Arial"/>
          <w:sz w:val="20"/>
          <w:szCs w:val="20"/>
        </w:rPr>
        <w:t>Spletna stran z informacijami o razpisu:</w:t>
      </w:r>
    </w:p>
    <w:p w:rsidR="0008350B" w:rsidRPr="00D43F07" w:rsidRDefault="0008350B" w:rsidP="00D43F07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D43F07">
          <w:rPr>
            <w:rStyle w:val="Hiperpovezava"/>
            <w:rFonts w:ascii="Arial" w:hAnsi="Arial" w:cs="Arial"/>
            <w:sz w:val="20"/>
            <w:szCs w:val="20"/>
          </w:rPr>
          <w:t>https://www.interregeurope.eu/about-us/2021-2027/</w:t>
        </w:r>
      </w:hyperlink>
    </w:p>
    <w:p w:rsidR="0008350B" w:rsidRPr="00D43F07" w:rsidRDefault="0008350B" w:rsidP="00D43F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3F07">
        <w:rPr>
          <w:rFonts w:ascii="Arial" w:hAnsi="Arial" w:cs="Arial"/>
          <w:sz w:val="20"/>
          <w:szCs w:val="20"/>
        </w:rPr>
        <w:t>Pripravila:</w:t>
      </w:r>
      <w:r w:rsidR="005344F0">
        <w:rPr>
          <w:rFonts w:ascii="Arial" w:hAnsi="Arial" w:cs="Arial"/>
          <w:sz w:val="20"/>
          <w:szCs w:val="20"/>
        </w:rPr>
        <w:t xml:space="preserve"> </w:t>
      </w:r>
      <w:r w:rsidRPr="00D43F07">
        <w:rPr>
          <w:rFonts w:ascii="Arial" w:hAnsi="Arial" w:cs="Arial"/>
          <w:sz w:val="20"/>
          <w:szCs w:val="20"/>
        </w:rPr>
        <w:t>Darja Kocbek</w:t>
      </w:r>
    </w:p>
    <w:p w:rsidR="0008350B" w:rsidRDefault="0008350B" w:rsidP="00D43F07">
      <w:pPr>
        <w:spacing w:after="0"/>
      </w:pPr>
    </w:p>
    <w:p w:rsidR="00480922" w:rsidRDefault="00480922"/>
    <w:sectPr w:rsidR="00480922" w:rsidSect="00865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069E"/>
    <w:multiLevelType w:val="hybridMultilevel"/>
    <w:tmpl w:val="B15830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2682A"/>
    <w:multiLevelType w:val="hybridMultilevel"/>
    <w:tmpl w:val="7DD261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5437F"/>
    <w:multiLevelType w:val="hybridMultilevel"/>
    <w:tmpl w:val="2C3085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53D42"/>
    <w:multiLevelType w:val="hybridMultilevel"/>
    <w:tmpl w:val="9BDE07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95DE3"/>
    <w:multiLevelType w:val="hybridMultilevel"/>
    <w:tmpl w:val="2A80F2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A7483"/>
    <w:multiLevelType w:val="hybridMultilevel"/>
    <w:tmpl w:val="D36459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E3456"/>
    <w:multiLevelType w:val="hybridMultilevel"/>
    <w:tmpl w:val="7F044A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65E8"/>
    <w:rsid w:val="0008350B"/>
    <w:rsid w:val="00290D31"/>
    <w:rsid w:val="00363D8F"/>
    <w:rsid w:val="003F5F13"/>
    <w:rsid w:val="00480922"/>
    <w:rsid w:val="005344F0"/>
    <w:rsid w:val="005F65E8"/>
    <w:rsid w:val="0082017B"/>
    <w:rsid w:val="00865F29"/>
    <w:rsid w:val="009A3786"/>
    <w:rsid w:val="00C03019"/>
    <w:rsid w:val="00D4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5F29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030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820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82017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8350B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C03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3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terregeurope.eu/about-us/2021-20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pin.com/events/europe-let-s-cooperate-2022/registra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2022-03-16T20:38:00Z</dcterms:created>
  <dcterms:modified xsi:type="dcterms:W3CDTF">2022-03-16T21:59:00Z</dcterms:modified>
</cp:coreProperties>
</file>