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7BF5" w:rsidRDefault="00D872BD" w:rsidP="003F7BF5">
      <w:pPr>
        <w:tabs>
          <w:tab w:val="left" w:pos="2520"/>
          <w:tab w:val="left" w:pos="2700"/>
        </w:tabs>
        <w:jc w:val="center"/>
      </w:pPr>
      <w:r>
        <w:rPr>
          <w:noProof/>
          <w:lang w:val="en-US" w:eastAsia="en-US"/>
        </w:rPr>
        <w:drawing>
          <wp:inline distT="0" distB="0" distL="0" distR="0">
            <wp:extent cx="2000250" cy="1028700"/>
            <wp:effectExtent l="19050" t="0" r="0" b="0"/>
            <wp:docPr id="1" name="Picture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3F7BF5" w:rsidRDefault="003F7BF5" w:rsidP="003F7BF5">
      <w:pPr>
        <w:pStyle w:val="Heading2"/>
        <w:jc w:val="center"/>
        <w:rPr>
          <w:b w:val="0"/>
          <w:bCs w:val="0"/>
          <w:i w:val="0"/>
          <w:iCs w:val="0"/>
          <w:sz w:val="22"/>
        </w:rPr>
      </w:pPr>
      <w:r>
        <w:rPr>
          <w:b w:val="0"/>
          <w:bCs w:val="0"/>
          <w:i w:val="0"/>
          <w:iCs w:val="0"/>
          <w:sz w:val="22"/>
        </w:rPr>
        <w:t>Slovensko gospodarsko in raziskovalno združenje, Bruselj</w:t>
      </w:r>
    </w:p>
    <w:p w:rsidR="003F7BF5" w:rsidRDefault="003F7BF5" w:rsidP="003F7BF5">
      <w:pPr>
        <w:pBdr>
          <w:bottom w:val="single" w:sz="6" w:space="1" w:color="auto"/>
        </w:pBdr>
        <w:jc w:val="center"/>
        <w:rPr>
          <w:sz w:val="16"/>
          <w:szCs w:val="16"/>
        </w:rPr>
      </w:pPr>
    </w:p>
    <w:p w:rsidR="003F7BF5" w:rsidRDefault="003F7BF5" w:rsidP="003F7BF5">
      <w:pPr>
        <w:jc w:val="center"/>
        <w:rPr>
          <w:rFonts w:cs="Arial"/>
          <w:b/>
        </w:rPr>
      </w:pPr>
      <w:r>
        <w:rPr>
          <w:rFonts w:cs="Arial"/>
          <w:b/>
        </w:rPr>
        <w:t xml:space="preserve">Občasna informacija članom </w:t>
      </w:r>
      <w:r w:rsidR="003D55C8">
        <w:rPr>
          <w:rFonts w:cs="Arial"/>
          <w:b/>
        </w:rPr>
        <w:t>45</w:t>
      </w:r>
      <w:r>
        <w:rPr>
          <w:rFonts w:cs="Arial"/>
          <w:b/>
        </w:rPr>
        <w:t xml:space="preserve"> -2014</w:t>
      </w:r>
    </w:p>
    <w:p w:rsidR="003F7BF5" w:rsidRDefault="003F7BF5" w:rsidP="003F7BF5">
      <w:pPr>
        <w:jc w:val="center"/>
        <w:rPr>
          <w:rFonts w:cs="Arial"/>
          <w:b/>
        </w:rPr>
      </w:pPr>
      <w:r>
        <w:rPr>
          <w:rFonts w:cs="Arial"/>
          <w:b/>
        </w:rPr>
        <w:t>16. junij 2014</w:t>
      </w:r>
    </w:p>
    <w:p w:rsidR="003F7BF5" w:rsidRPr="0000219A" w:rsidRDefault="003F7BF5" w:rsidP="003F7BF5">
      <w:pPr>
        <w:jc w:val="center"/>
        <w:rPr>
          <w:rFonts w:cs="Arial"/>
          <w:b/>
        </w:rPr>
      </w:pPr>
    </w:p>
    <w:p w:rsidR="003F7BF5" w:rsidRDefault="003F7BF5" w:rsidP="003F7BF5">
      <w:pPr>
        <w:jc w:val="center"/>
        <w:rPr>
          <w:rFonts w:cs="Arial"/>
          <w:b/>
          <w:color w:val="993300"/>
          <w:sz w:val="32"/>
          <w:szCs w:val="32"/>
        </w:rPr>
      </w:pPr>
      <w:r>
        <w:rPr>
          <w:rFonts w:cs="Arial"/>
          <w:b/>
          <w:color w:val="993300"/>
          <w:sz w:val="32"/>
          <w:szCs w:val="32"/>
        </w:rPr>
        <w:t>Nova generacija finančnih instrumentov za inovativna podjetja</w:t>
      </w:r>
    </w:p>
    <w:p w:rsidR="003F7BF5" w:rsidRDefault="003F7BF5" w:rsidP="00980ADE">
      <w:pPr>
        <w:jc w:val="both"/>
        <w:rPr>
          <w:rFonts w:ascii="Arial" w:hAnsi="Arial" w:cs="Arial"/>
          <w:b/>
          <w:i/>
          <w:sz w:val="22"/>
          <w:szCs w:val="22"/>
        </w:rPr>
      </w:pPr>
    </w:p>
    <w:p w:rsidR="00325493" w:rsidRPr="00564067" w:rsidRDefault="00325493" w:rsidP="00980ADE">
      <w:pPr>
        <w:jc w:val="both"/>
        <w:rPr>
          <w:rFonts w:ascii="Arial" w:hAnsi="Arial" w:cs="Arial"/>
          <w:b/>
          <w:i/>
          <w:sz w:val="22"/>
          <w:szCs w:val="22"/>
        </w:rPr>
      </w:pPr>
      <w:r w:rsidRPr="00564067">
        <w:rPr>
          <w:rFonts w:ascii="Arial" w:hAnsi="Arial" w:cs="Arial"/>
          <w:b/>
          <w:i/>
          <w:sz w:val="22"/>
          <w:szCs w:val="22"/>
        </w:rPr>
        <w:t>Evropska komisija in skupina Evropske investicijske banke (EIB) sta predstavili novo generacijo finančnih instrumentov in svetovalnih storitev EU, s katerimi želita inovativnim podjetjem olajšati dostop do financiranja. Pričakujeta, da bo v naslednjih sedmih letih s proizvodi InnovFin – finančna sredstva EU za inovatorje zagotovljenih več kot 24 milijard evrov sredstev za raziskave in inovacije malih, srednjih in velikih podjetij ter nosilcev raziskovalne infrastrukture. Ta finančna sredstva naj bi omogočila do 48 milijard evrov končnih naložb v raziskave in inovacije.</w:t>
      </w:r>
      <w:r w:rsidR="00315EA0" w:rsidRPr="00564067">
        <w:rPr>
          <w:rFonts w:ascii="Arial" w:hAnsi="Arial" w:cs="Arial"/>
          <w:b/>
          <w:i/>
          <w:sz w:val="22"/>
          <w:szCs w:val="22"/>
        </w:rPr>
        <w:t xml:space="preserve"> Tudi podjetjem, univerzam in inštitutom v Sloveniji</w:t>
      </w:r>
      <w:r w:rsidR="00980ADE" w:rsidRPr="00564067">
        <w:rPr>
          <w:rFonts w:ascii="Arial" w:hAnsi="Arial" w:cs="Arial"/>
          <w:b/>
          <w:i/>
          <w:sz w:val="22"/>
          <w:szCs w:val="22"/>
        </w:rPr>
        <w:t>, saj je na voljo več različnih instrumentov</w:t>
      </w:r>
      <w:r w:rsidR="00315EA0" w:rsidRPr="00564067">
        <w:rPr>
          <w:rFonts w:ascii="Arial" w:hAnsi="Arial" w:cs="Arial"/>
          <w:b/>
          <w:i/>
          <w:sz w:val="22"/>
          <w:szCs w:val="22"/>
        </w:rPr>
        <w:t>.</w:t>
      </w:r>
    </w:p>
    <w:p w:rsidR="00980ADE" w:rsidRDefault="00980ADE" w:rsidP="00980ADE">
      <w:pPr>
        <w:jc w:val="both"/>
        <w:rPr>
          <w:rFonts w:ascii="Arial" w:hAnsi="Arial" w:cs="Arial"/>
          <w:sz w:val="20"/>
          <w:szCs w:val="20"/>
        </w:rPr>
      </w:pPr>
    </w:p>
    <w:p w:rsidR="00325493" w:rsidRPr="00980ADE" w:rsidRDefault="00325493" w:rsidP="00980ADE">
      <w:pPr>
        <w:jc w:val="both"/>
        <w:rPr>
          <w:rFonts w:ascii="Arial" w:hAnsi="Arial" w:cs="Arial"/>
          <w:sz w:val="20"/>
          <w:szCs w:val="20"/>
        </w:rPr>
      </w:pPr>
      <w:r w:rsidRPr="00980ADE">
        <w:rPr>
          <w:rFonts w:ascii="Arial" w:hAnsi="Arial" w:cs="Arial"/>
          <w:sz w:val="20"/>
          <w:szCs w:val="20"/>
        </w:rPr>
        <w:t xml:space="preserve">Finančni instrument InnovFin – sredstva EU za inovatorje bo zajemal proizvode po meri – od jamstev za posrednike, ki dajejo posojila malim in srednjim podjetjem (MSP), do neposrednih posojil podjetjem –, s čimer bo zagotovljena podpora tako najmanjšim kot tudi največjim projektom na področju raziskav in inovacij v EU in državah, povezanih z novim raziskovalnim programom EU Obzorje 2020 za obdobje 2014–2020. InnovFin je nadaljevanje uspešnega Sklada za financiranje na osnovi delitve tveganja, vzpostavljenega v sklopu sedmega okvirnega programa EU za raziskave in tehnološki razvoj. </w:t>
      </w:r>
    </w:p>
    <w:p w:rsidR="00980ADE" w:rsidRDefault="00980ADE" w:rsidP="00980ADE">
      <w:pPr>
        <w:jc w:val="both"/>
        <w:rPr>
          <w:rFonts w:ascii="Arial" w:hAnsi="Arial" w:cs="Arial"/>
          <w:sz w:val="20"/>
          <w:szCs w:val="20"/>
        </w:rPr>
      </w:pPr>
    </w:p>
    <w:p w:rsidR="00325493" w:rsidRPr="00980ADE" w:rsidRDefault="00325493" w:rsidP="00980ADE">
      <w:pPr>
        <w:jc w:val="both"/>
        <w:rPr>
          <w:rFonts w:ascii="Arial" w:hAnsi="Arial" w:cs="Arial"/>
          <w:sz w:val="20"/>
          <w:szCs w:val="20"/>
        </w:rPr>
      </w:pPr>
      <w:r w:rsidRPr="00980ADE">
        <w:rPr>
          <w:rFonts w:ascii="Arial" w:hAnsi="Arial" w:cs="Arial"/>
          <w:sz w:val="20"/>
          <w:szCs w:val="20"/>
        </w:rPr>
        <w:t>Evropska investicijska banka bo odobrila posojila srednjim in velikim podjetjem ali dala jamstva bankam, ki tem podjetjem posojajo. Evropski investicijski sklad bo bankam, ki posojajo malim in srednjim podjetjem, dal jamstva ter pozneje vlagal v sklade tveganega kapitala, ki zagonskim in hitrorastočim podjetjem zagotavljajo kapital.</w:t>
      </w:r>
    </w:p>
    <w:p w:rsidR="00980ADE" w:rsidRDefault="00980ADE" w:rsidP="00980ADE">
      <w:pPr>
        <w:jc w:val="both"/>
        <w:rPr>
          <w:rFonts w:ascii="Arial" w:hAnsi="Arial" w:cs="Arial"/>
          <w:sz w:val="20"/>
          <w:szCs w:val="20"/>
        </w:rPr>
      </w:pPr>
    </w:p>
    <w:p w:rsidR="00325493" w:rsidRPr="00980ADE" w:rsidRDefault="00325493" w:rsidP="00980ADE">
      <w:pPr>
        <w:jc w:val="both"/>
        <w:rPr>
          <w:rFonts w:ascii="Arial" w:hAnsi="Arial" w:cs="Arial"/>
          <w:sz w:val="20"/>
          <w:szCs w:val="20"/>
        </w:rPr>
      </w:pPr>
      <w:r w:rsidRPr="00980ADE">
        <w:rPr>
          <w:rFonts w:ascii="Arial" w:hAnsi="Arial" w:cs="Arial"/>
          <w:sz w:val="20"/>
          <w:szCs w:val="20"/>
        </w:rPr>
        <w:t xml:space="preserve">Jamstva in posojila InnovFin bodo financirana iz sredstev, predvidenih v okviru programa Obzorje 2020, in sredstev, ki jih je skupina EIB namenila za podporo naložbam v raziskave in inovacije, ki so po naravi bolj tvegane in jih je težje oceniti kot materialne naložbe. Gre za instrumente, ki temeljijo na povpraševanju, brez predhodne razdelitve med sektorji, državami ali regijami. Ti dolžniški instrumenti bodo v bližnji prihodnosti dopolnjeni s sklopom lastniških instrumentov, ki jih upravlja Evropski investicijski sklad. Za podporo tem finančnim instrumentom bo iz skoraj 80-milijardnega proračuna programa Obzorje 2020 namenjenih približno 2,7 milijarde evrov. </w:t>
      </w:r>
    </w:p>
    <w:p w:rsidR="00980ADE" w:rsidRDefault="00980ADE" w:rsidP="00980ADE">
      <w:pPr>
        <w:jc w:val="both"/>
        <w:rPr>
          <w:rFonts w:ascii="Arial" w:hAnsi="Arial" w:cs="Arial"/>
          <w:sz w:val="20"/>
          <w:szCs w:val="20"/>
        </w:rPr>
      </w:pPr>
    </w:p>
    <w:p w:rsidR="00325493" w:rsidRPr="00980ADE" w:rsidRDefault="00325493" w:rsidP="00980ADE">
      <w:pPr>
        <w:jc w:val="both"/>
        <w:rPr>
          <w:rFonts w:ascii="Arial" w:hAnsi="Arial" w:cs="Arial"/>
          <w:sz w:val="20"/>
          <w:szCs w:val="20"/>
        </w:rPr>
      </w:pPr>
      <w:r w:rsidRPr="00980ADE">
        <w:rPr>
          <w:rFonts w:ascii="Arial" w:hAnsi="Arial" w:cs="Arial"/>
          <w:sz w:val="20"/>
          <w:szCs w:val="20"/>
        </w:rPr>
        <w:t xml:space="preserve">InnovFin Large Projects (InnovFin za velike projekte) naj bi izboljšal dostop do tveganega financiranja projektov na področju raziskav in inovacij, ki jih izvajajo velika podjetja ter srednja in velika podjetja s srednje veliko tržno kapitalizacijo, univerze in raziskovalni inštituti, infrastruktura za raziskave in inovacije (vključno z infrastrukturo, ki omogoča inovacije), javno-zasebna partnerstva in pravni subjekti ali projekti s posebnim namenom (vključno s tistimi, ki spodbujajo prototipne industrijske predstavitvene projekte v komercialnem merilu). Posojila v višini od 7,5 do 300 milijonov evrov bo izplačala neposredno Evropska investicijska banka. </w:t>
      </w:r>
    </w:p>
    <w:p w:rsidR="00980ADE" w:rsidRDefault="00980ADE" w:rsidP="00980ADE">
      <w:pPr>
        <w:jc w:val="both"/>
        <w:rPr>
          <w:rFonts w:ascii="Arial" w:hAnsi="Arial" w:cs="Arial"/>
          <w:sz w:val="20"/>
          <w:szCs w:val="20"/>
        </w:rPr>
      </w:pPr>
    </w:p>
    <w:p w:rsidR="00325493" w:rsidRPr="00980ADE" w:rsidRDefault="00325493" w:rsidP="00980ADE">
      <w:pPr>
        <w:jc w:val="both"/>
        <w:rPr>
          <w:rFonts w:ascii="Arial" w:hAnsi="Arial" w:cs="Arial"/>
          <w:sz w:val="20"/>
          <w:szCs w:val="20"/>
        </w:rPr>
      </w:pPr>
      <w:r w:rsidRPr="00980ADE">
        <w:rPr>
          <w:rFonts w:ascii="Arial" w:hAnsi="Arial" w:cs="Arial"/>
          <w:sz w:val="20"/>
          <w:szCs w:val="20"/>
        </w:rPr>
        <w:t>InnovFin MidCap Growth Finance (financiranje InnovFin za rast podjetij s srednje veliko tržno kapitalizacijo) ponuja prednostna in podrejena posojila ali jamstva (vključno z vmesnim financiranjem in navideznim las</w:t>
      </w:r>
      <w:r w:rsidR="00315EA0" w:rsidRPr="00980ADE">
        <w:rPr>
          <w:rFonts w:ascii="Arial" w:hAnsi="Arial" w:cs="Arial"/>
          <w:sz w:val="20"/>
          <w:szCs w:val="20"/>
        </w:rPr>
        <w:t>tniškim financiranjem), da bi</w:t>
      </w:r>
      <w:r w:rsidRPr="00980ADE">
        <w:rPr>
          <w:rFonts w:ascii="Arial" w:hAnsi="Arial" w:cs="Arial"/>
          <w:sz w:val="20"/>
          <w:szCs w:val="20"/>
        </w:rPr>
        <w:t xml:space="preserve"> izboljšal</w:t>
      </w:r>
      <w:r w:rsidR="00315EA0" w:rsidRPr="00980ADE">
        <w:rPr>
          <w:rFonts w:ascii="Arial" w:hAnsi="Arial" w:cs="Arial"/>
          <w:sz w:val="20"/>
          <w:szCs w:val="20"/>
        </w:rPr>
        <w:t>i</w:t>
      </w:r>
      <w:r w:rsidRPr="00980ADE">
        <w:rPr>
          <w:rFonts w:ascii="Arial" w:hAnsi="Arial" w:cs="Arial"/>
          <w:sz w:val="20"/>
          <w:szCs w:val="20"/>
        </w:rPr>
        <w:t xml:space="preserve"> dostop do financiranja, zlasti za inovativna večja podjetja s srednje veliko tržno kapitalizacijo (do 3 </w:t>
      </w:r>
      <w:r w:rsidR="00315EA0" w:rsidRPr="00980ADE">
        <w:rPr>
          <w:rFonts w:ascii="Arial" w:hAnsi="Arial" w:cs="Arial"/>
          <w:sz w:val="20"/>
          <w:szCs w:val="20"/>
        </w:rPr>
        <w:t xml:space="preserve">tisoč </w:t>
      </w:r>
      <w:r w:rsidRPr="00980ADE">
        <w:rPr>
          <w:rFonts w:ascii="Arial" w:hAnsi="Arial" w:cs="Arial"/>
          <w:sz w:val="20"/>
          <w:szCs w:val="20"/>
        </w:rPr>
        <w:t xml:space="preserve">zaposlenih), pa tudi za MSP in mala </w:t>
      </w:r>
      <w:r w:rsidRPr="00980ADE">
        <w:rPr>
          <w:rFonts w:ascii="Arial" w:hAnsi="Arial" w:cs="Arial"/>
          <w:sz w:val="20"/>
          <w:szCs w:val="20"/>
        </w:rPr>
        <w:lastRenderedPageBreak/>
        <w:t xml:space="preserve">podjetja s srednje veliko tržno kapitalizacijo. Posojila v višini 7,5 do 25 milijonov evrov bo Evropska investicijska banka izplačala neposredno upravičencem v državah članicah EU in pridruženih državah. </w:t>
      </w:r>
    </w:p>
    <w:p w:rsidR="00980ADE" w:rsidRDefault="00980ADE" w:rsidP="00980ADE">
      <w:pPr>
        <w:jc w:val="both"/>
        <w:rPr>
          <w:rFonts w:ascii="Arial" w:hAnsi="Arial" w:cs="Arial"/>
          <w:sz w:val="20"/>
          <w:szCs w:val="20"/>
        </w:rPr>
      </w:pPr>
    </w:p>
    <w:p w:rsidR="00325493" w:rsidRPr="00980ADE" w:rsidRDefault="00325493" w:rsidP="00980ADE">
      <w:pPr>
        <w:jc w:val="both"/>
        <w:rPr>
          <w:rFonts w:ascii="Arial" w:hAnsi="Arial" w:cs="Arial"/>
          <w:sz w:val="20"/>
          <w:szCs w:val="20"/>
        </w:rPr>
      </w:pPr>
      <w:r w:rsidRPr="00980ADE">
        <w:rPr>
          <w:rFonts w:ascii="Arial" w:hAnsi="Arial" w:cs="Arial"/>
          <w:sz w:val="20"/>
          <w:szCs w:val="20"/>
        </w:rPr>
        <w:t>InnovFin MidCap Guarantee (jamstvo InnovFin za podjetja s srednje veliko tržno kapitalizacijo) ponuja jamstva ali pogojna posojila v višini od 7,5</w:t>
      </w:r>
      <w:r w:rsidR="00315EA0" w:rsidRPr="00980ADE">
        <w:rPr>
          <w:rFonts w:ascii="Arial" w:hAnsi="Arial" w:cs="Arial"/>
          <w:sz w:val="20"/>
          <w:szCs w:val="20"/>
        </w:rPr>
        <w:t xml:space="preserve"> do 25 milijonov evrov, da bi</w:t>
      </w:r>
      <w:r w:rsidRPr="00980ADE">
        <w:rPr>
          <w:rFonts w:ascii="Arial" w:hAnsi="Arial" w:cs="Arial"/>
          <w:sz w:val="20"/>
          <w:szCs w:val="20"/>
        </w:rPr>
        <w:t xml:space="preserve"> izboljšal</w:t>
      </w:r>
      <w:r w:rsidR="00315EA0" w:rsidRPr="00980ADE">
        <w:rPr>
          <w:rFonts w:ascii="Arial" w:hAnsi="Arial" w:cs="Arial"/>
          <w:sz w:val="20"/>
          <w:szCs w:val="20"/>
        </w:rPr>
        <w:t>i</w:t>
      </w:r>
      <w:r w:rsidRPr="00980ADE">
        <w:rPr>
          <w:rFonts w:ascii="Arial" w:hAnsi="Arial" w:cs="Arial"/>
          <w:sz w:val="20"/>
          <w:szCs w:val="20"/>
        </w:rPr>
        <w:t xml:space="preserve"> dostop zlasti inovativnih večjih podjetij s srednje veliko tržno kapitalizacijo (do 3000 zaposlenih) do financiranja. Ta instrument izvaja Evropska investicijska banka, izvršuje pa se prek finančnih posrednikov – bank in finančnih institucij – v državah članicah EU in pridruženih državah. S tem instrumentom bo Evropska investicijska banka finančnim posrednikom jamčila kritje dela njihove morebitne izgube, jamstvenim ustanovam pa ponudila posredna jamstva.</w:t>
      </w:r>
    </w:p>
    <w:p w:rsidR="00980ADE" w:rsidRDefault="00980ADE" w:rsidP="00980ADE">
      <w:pPr>
        <w:jc w:val="both"/>
        <w:rPr>
          <w:rFonts w:ascii="Arial" w:hAnsi="Arial" w:cs="Arial"/>
          <w:sz w:val="20"/>
          <w:szCs w:val="20"/>
        </w:rPr>
      </w:pPr>
    </w:p>
    <w:p w:rsidR="00980ADE" w:rsidRDefault="00325493" w:rsidP="00980ADE">
      <w:pPr>
        <w:jc w:val="both"/>
        <w:rPr>
          <w:rFonts w:ascii="Arial" w:hAnsi="Arial" w:cs="Arial"/>
          <w:sz w:val="20"/>
          <w:szCs w:val="20"/>
        </w:rPr>
      </w:pPr>
      <w:r w:rsidRPr="00980ADE">
        <w:rPr>
          <w:rFonts w:ascii="Arial" w:hAnsi="Arial" w:cs="Arial"/>
          <w:sz w:val="20"/>
          <w:szCs w:val="20"/>
        </w:rPr>
        <w:t>InnovFin SME Guarantee (jamstvo InnovFin za MSP) zagotavlja jamstva in posredna jamstva za financiranje dolga v višini od 25 000 evrov do 7,5 milijona evrov, da bi izboljšali dostop inovativnih malih in srednjih podjetij ter malih podjetij s srednje veliko tržno kapitalizacijo (do 499 zaposlenih) do financiranja. Ta instrument izvaja Evropski investicijski sklad, izvršuje pa se prek finančnih posrednikov – bank in finančnih institucij – v državah članicah EU in pridruženih državah. V okviru tega instrumenta bo Evropski investicijski sklad finančnim posrednikom jamčil kritje dela njihove izgube, nastale pri financiranju dolga, ki ga pokriva ta instrument.</w:t>
      </w:r>
    </w:p>
    <w:p w:rsidR="00980ADE" w:rsidRDefault="00980ADE" w:rsidP="00980ADE">
      <w:pPr>
        <w:jc w:val="both"/>
        <w:rPr>
          <w:rFonts w:ascii="Arial" w:hAnsi="Arial" w:cs="Arial"/>
          <w:sz w:val="20"/>
          <w:szCs w:val="20"/>
        </w:rPr>
      </w:pPr>
    </w:p>
    <w:p w:rsidR="00325493" w:rsidRPr="00980ADE" w:rsidRDefault="00325493" w:rsidP="00980ADE">
      <w:pPr>
        <w:jc w:val="both"/>
        <w:rPr>
          <w:rFonts w:ascii="Arial" w:hAnsi="Arial" w:cs="Arial"/>
          <w:sz w:val="20"/>
          <w:szCs w:val="20"/>
        </w:rPr>
      </w:pPr>
      <w:r w:rsidRPr="00980ADE">
        <w:rPr>
          <w:rFonts w:ascii="Arial" w:hAnsi="Arial" w:cs="Arial"/>
          <w:sz w:val="20"/>
          <w:szCs w:val="20"/>
        </w:rPr>
        <w:t xml:space="preserve">InnovFin Advisory (svetovalne storitve InnovFin), ki jih zagotavlja Evropska investicijska banka s sredstvi v višini 28 milijonov evrov iz proračuna programa Obzorje 2020, so namenjene povečanju sprejemljivosti velikih projektov za banke in pripravljenosti za vlaganje vanje, saj potrebujejo velike in dolgoročne naložbe. Evropska investicijska banka pa ponuja tudi nasvete za izboljšanje pogojev dostopa do tveganega financiranja raziskav in inovacij. Predvidoma bodo te storitve največ uporabljali nosilci velikih projektov na področju raziskav in inovacij, ki so v skladu z družbenimi izzivi iz programa Obzorje 2020. Svetovalne storitve naj bi pospešile razvoj projektov z vrednostjo naložb v višini okoli 20 milijard evrov. </w:t>
      </w:r>
    </w:p>
    <w:p w:rsidR="00DE745A" w:rsidRDefault="00DE745A" w:rsidP="00980ADE">
      <w:pPr>
        <w:jc w:val="both"/>
        <w:rPr>
          <w:rFonts w:ascii="Arial" w:hAnsi="Arial" w:cs="Arial"/>
          <w:sz w:val="20"/>
          <w:szCs w:val="20"/>
        </w:rPr>
      </w:pPr>
    </w:p>
    <w:p w:rsidR="00980ADE" w:rsidRPr="00564067" w:rsidRDefault="00980ADE" w:rsidP="00980ADE">
      <w:pPr>
        <w:jc w:val="both"/>
        <w:rPr>
          <w:rFonts w:ascii="Arial" w:hAnsi="Arial" w:cs="Arial"/>
          <w:b/>
          <w:sz w:val="20"/>
          <w:szCs w:val="20"/>
        </w:rPr>
      </w:pPr>
      <w:r w:rsidRPr="00564067">
        <w:rPr>
          <w:rFonts w:ascii="Arial" w:hAnsi="Arial" w:cs="Arial"/>
          <w:b/>
          <w:sz w:val="20"/>
          <w:szCs w:val="20"/>
        </w:rPr>
        <w:t>Koristne informacije:</w:t>
      </w:r>
    </w:p>
    <w:p w:rsidR="00980ADE" w:rsidRDefault="00980ADE" w:rsidP="00564067">
      <w:pPr>
        <w:numPr>
          <w:ilvl w:val="0"/>
          <w:numId w:val="1"/>
        </w:numPr>
        <w:jc w:val="both"/>
        <w:rPr>
          <w:rFonts w:ascii="Arial" w:hAnsi="Arial" w:cs="Arial"/>
          <w:sz w:val="20"/>
          <w:szCs w:val="20"/>
        </w:rPr>
      </w:pPr>
      <w:r>
        <w:rPr>
          <w:rFonts w:ascii="Arial" w:hAnsi="Arial" w:cs="Arial"/>
          <w:sz w:val="20"/>
          <w:szCs w:val="20"/>
        </w:rPr>
        <w:t>Postal za dostop do financiranja EU:</w:t>
      </w:r>
    </w:p>
    <w:p w:rsidR="00DE745A" w:rsidRDefault="00FE78C5" w:rsidP="00564067">
      <w:pPr>
        <w:numPr>
          <w:ilvl w:val="0"/>
          <w:numId w:val="1"/>
        </w:numPr>
        <w:jc w:val="both"/>
        <w:rPr>
          <w:rFonts w:ascii="Arial" w:hAnsi="Arial" w:cs="Arial"/>
          <w:sz w:val="20"/>
          <w:szCs w:val="20"/>
        </w:rPr>
      </w:pPr>
      <w:hyperlink r:id="rId6" w:history="1">
        <w:r w:rsidR="00980ADE" w:rsidRPr="00833E71">
          <w:rPr>
            <w:rStyle w:val="Hyperlink"/>
            <w:rFonts w:ascii="Arial" w:hAnsi="Arial" w:cs="Arial"/>
            <w:sz w:val="20"/>
            <w:szCs w:val="20"/>
          </w:rPr>
          <w:t>http://europa.eu/youreurope/business/funding-grants/access-to-finance/index_sl.htm</w:t>
        </w:r>
      </w:hyperlink>
    </w:p>
    <w:p w:rsidR="00980ADE" w:rsidRDefault="00980ADE" w:rsidP="00980ADE">
      <w:pPr>
        <w:jc w:val="both"/>
        <w:rPr>
          <w:rFonts w:ascii="Arial" w:hAnsi="Arial" w:cs="Arial"/>
          <w:sz w:val="20"/>
          <w:szCs w:val="20"/>
        </w:rPr>
      </w:pPr>
    </w:p>
    <w:p w:rsidR="00980ADE" w:rsidRDefault="00564067" w:rsidP="00564067">
      <w:pPr>
        <w:numPr>
          <w:ilvl w:val="0"/>
          <w:numId w:val="1"/>
        </w:numPr>
        <w:jc w:val="both"/>
        <w:rPr>
          <w:rFonts w:ascii="Arial" w:hAnsi="Arial" w:cs="Arial"/>
          <w:sz w:val="20"/>
          <w:szCs w:val="20"/>
        </w:rPr>
      </w:pPr>
      <w:r>
        <w:rPr>
          <w:rFonts w:ascii="Arial" w:hAnsi="Arial" w:cs="Arial"/>
          <w:sz w:val="20"/>
          <w:szCs w:val="20"/>
        </w:rPr>
        <w:t>Spletna stran programa Obzorje 2020:</w:t>
      </w:r>
    </w:p>
    <w:p w:rsidR="00564067" w:rsidRDefault="00FE78C5" w:rsidP="00564067">
      <w:pPr>
        <w:numPr>
          <w:ilvl w:val="0"/>
          <w:numId w:val="1"/>
        </w:numPr>
        <w:jc w:val="both"/>
        <w:rPr>
          <w:rFonts w:ascii="Arial" w:hAnsi="Arial" w:cs="Arial"/>
          <w:sz w:val="20"/>
          <w:szCs w:val="20"/>
        </w:rPr>
      </w:pPr>
      <w:hyperlink r:id="rId7" w:history="1">
        <w:r w:rsidR="00564067" w:rsidRPr="00833E71">
          <w:rPr>
            <w:rStyle w:val="Hyperlink"/>
            <w:rFonts w:ascii="Arial" w:hAnsi="Arial" w:cs="Arial"/>
            <w:sz w:val="20"/>
            <w:szCs w:val="20"/>
          </w:rPr>
          <w:t>http://ec.europa.eu/programmes/horizon2020/</w:t>
        </w:r>
      </w:hyperlink>
    </w:p>
    <w:p w:rsidR="00564067" w:rsidRDefault="00564067" w:rsidP="00980ADE">
      <w:pPr>
        <w:jc w:val="both"/>
        <w:rPr>
          <w:rFonts w:ascii="Arial" w:hAnsi="Arial" w:cs="Arial"/>
          <w:sz w:val="20"/>
          <w:szCs w:val="20"/>
        </w:rPr>
      </w:pPr>
    </w:p>
    <w:p w:rsidR="00564067" w:rsidRDefault="00564067" w:rsidP="00980ADE">
      <w:pPr>
        <w:jc w:val="both"/>
        <w:rPr>
          <w:rFonts w:ascii="Arial" w:hAnsi="Arial" w:cs="Arial"/>
          <w:sz w:val="20"/>
          <w:szCs w:val="20"/>
        </w:rPr>
      </w:pPr>
      <w:r>
        <w:rPr>
          <w:rFonts w:ascii="Arial" w:hAnsi="Arial" w:cs="Arial"/>
          <w:sz w:val="20"/>
          <w:szCs w:val="20"/>
        </w:rPr>
        <w:t>Pripravila:</w:t>
      </w:r>
    </w:p>
    <w:p w:rsidR="00564067" w:rsidRPr="00564067" w:rsidRDefault="00564067" w:rsidP="00980ADE">
      <w:pPr>
        <w:jc w:val="both"/>
        <w:rPr>
          <w:rFonts w:ascii="Arial" w:hAnsi="Arial" w:cs="Arial"/>
          <w:sz w:val="20"/>
          <w:szCs w:val="20"/>
        </w:rPr>
      </w:pPr>
      <w:r>
        <w:rPr>
          <w:rFonts w:ascii="Arial" w:hAnsi="Arial" w:cs="Arial"/>
          <w:sz w:val="20"/>
          <w:szCs w:val="20"/>
        </w:rPr>
        <w:t>Darja Kocbek</w:t>
      </w:r>
    </w:p>
    <w:sectPr w:rsidR="00564067" w:rsidRPr="00564067" w:rsidSect="00CD2235">
      <w:pgSz w:w="11906" w:h="16838"/>
      <w:pgMar w:top="1417" w:right="1417" w:bottom="1417" w:left="141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8B3821"/>
    <w:multiLevelType w:val="hybridMultilevel"/>
    <w:tmpl w:val="1870CC3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isplayHorizontalDrawingGridEvery w:val="2"/>
  <w:displayVerticalDrawingGridEvery w:val="2"/>
  <w:characterSpacingControl w:val="doNotCompress"/>
  <w:compat/>
  <w:rsids>
    <w:rsidRoot w:val="00325493"/>
    <w:rsid w:val="00315EA0"/>
    <w:rsid w:val="00325493"/>
    <w:rsid w:val="003D55C8"/>
    <w:rsid w:val="003F7BF5"/>
    <w:rsid w:val="00564067"/>
    <w:rsid w:val="00980ADE"/>
    <w:rsid w:val="00CD2235"/>
    <w:rsid w:val="00D872BD"/>
    <w:rsid w:val="00DE745A"/>
    <w:rsid w:val="00FE78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E78C5"/>
    <w:rPr>
      <w:sz w:val="24"/>
      <w:szCs w:val="24"/>
      <w:lang w:val="sl-SI" w:eastAsia="sl-SI"/>
    </w:rPr>
  </w:style>
  <w:style w:type="paragraph" w:styleId="Heading2">
    <w:name w:val="heading 2"/>
    <w:basedOn w:val="Normal"/>
    <w:next w:val="Normal"/>
    <w:qFormat/>
    <w:rsid w:val="003F7BF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standard3520normal">
    <w:name w:val="a_standard__35__20_normal"/>
    <w:basedOn w:val="Normal"/>
    <w:rsid w:val="00325493"/>
    <w:pPr>
      <w:spacing w:before="100" w:beforeAutospacing="1" w:after="100" w:afterAutospacing="1"/>
    </w:pPr>
  </w:style>
  <w:style w:type="character" w:customStyle="1" w:styleId="at1">
    <w:name w:val="a__t1"/>
    <w:basedOn w:val="DefaultParagraphFont"/>
    <w:rsid w:val="00325493"/>
  </w:style>
  <w:style w:type="character" w:styleId="Hyperlink">
    <w:name w:val="Hyperlink"/>
    <w:basedOn w:val="DefaultParagraphFont"/>
    <w:rsid w:val="00325493"/>
    <w:rPr>
      <w:color w:val="0000FF"/>
      <w:u w:val="single"/>
    </w:rPr>
  </w:style>
  <w:style w:type="paragraph" w:customStyle="1" w:styleId="a3520normalp5">
    <w:name w:val="a__35__20_normal_p5"/>
    <w:basedOn w:val="Normal"/>
    <w:rsid w:val="00325493"/>
    <w:pPr>
      <w:spacing w:before="100" w:beforeAutospacing="1" w:after="100" w:afterAutospacing="1"/>
    </w:pPr>
  </w:style>
  <w:style w:type="paragraph" w:customStyle="1" w:styleId="astandardsous-titre201">
    <w:name w:val="a_standard_sous-titre_20_1"/>
    <w:basedOn w:val="Normal"/>
    <w:rsid w:val="00325493"/>
    <w:pPr>
      <w:spacing w:before="100" w:beforeAutospacing="1" w:after="100" w:afterAutospacing="1"/>
    </w:pPr>
  </w:style>
  <w:style w:type="character" w:customStyle="1" w:styleId="at2">
    <w:name w:val="a__t2"/>
    <w:basedOn w:val="DefaultParagraphFont"/>
    <w:rsid w:val="00325493"/>
  </w:style>
  <w:style w:type="character" w:customStyle="1" w:styleId="at3">
    <w:name w:val="a__t3"/>
    <w:basedOn w:val="DefaultParagraphFont"/>
    <w:rsid w:val="00325493"/>
  </w:style>
  <w:style w:type="paragraph" w:styleId="BalloonText">
    <w:name w:val="Balloon Text"/>
    <w:basedOn w:val="Normal"/>
    <w:link w:val="BalloonTextChar"/>
    <w:rsid w:val="003D55C8"/>
    <w:rPr>
      <w:rFonts w:ascii="Tahoma" w:hAnsi="Tahoma" w:cs="Tahoma"/>
      <w:sz w:val="16"/>
      <w:szCs w:val="16"/>
    </w:rPr>
  </w:style>
  <w:style w:type="character" w:customStyle="1" w:styleId="BalloonTextChar">
    <w:name w:val="Balloon Text Char"/>
    <w:basedOn w:val="DefaultParagraphFont"/>
    <w:link w:val="BalloonText"/>
    <w:rsid w:val="003D55C8"/>
    <w:rPr>
      <w:rFonts w:ascii="Tahoma" w:hAnsi="Tahoma" w:cs="Tahoma"/>
      <w:sz w:val="16"/>
      <w:szCs w:val="16"/>
      <w:lang w:val="sl-SI" w:eastAsia="sl-SI"/>
    </w:rPr>
  </w:style>
</w:styles>
</file>

<file path=word/webSettings.xml><?xml version="1.0" encoding="utf-8"?>
<w:webSettings xmlns:r="http://schemas.openxmlformats.org/officeDocument/2006/relationships" xmlns:w="http://schemas.openxmlformats.org/wordprocessingml/2006/main">
  <w:divs>
    <w:div w:id="1719820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c.europa.eu/programmes/horizon20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uropa.eu/youreurope/business/funding-grants/access-to-finance/index_sl.ht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920</Words>
  <Characters>5245</Characters>
  <Application>Microsoft Office Word</Application>
  <DocSecurity>0</DocSecurity>
  <Lines>43</Lines>
  <Paragraphs>12</Paragraphs>
  <ScaleCrop>false</ScaleCrop>
  <HeadingPairs>
    <vt:vector size="2" baseType="variant">
      <vt:variant>
        <vt:lpstr>Naslov</vt:lpstr>
      </vt:variant>
      <vt:variant>
        <vt:i4>1</vt:i4>
      </vt:variant>
    </vt:vector>
  </HeadingPairs>
  <TitlesOfParts>
    <vt:vector size="1" baseType="lpstr">
      <vt:lpstr>Evropska komisija in skupina Evropske investicijske banke (EIB) sta predstavili novo generacijo finančnih instrumentov in svetovalnih storitev EU, s katerimi želita inovativnim podjetjem olajšati dostop do financiranja</vt:lpstr>
    </vt:vector>
  </TitlesOfParts>
  <Company>_____</Company>
  <LinksUpToDate>false</LinksUpToDate>
  <CharactersWithSpaces>6153</CharactersWithSpaces>
  <SharedDoc>false</SharedDoc>
  <HLinks>
    <vt:vector size="12" baseType="variant">
      <vt:variant>
        <vt:i4>3473525</vt:i4>
      </vt:variant>
      <vt:variant>
        <vt:i4>3</vt:i4>
      </vt:variant>
      <vt:variant>
        <vt:i4>0</vt:i4>
      </vt:variant>
      <vt:variant>
        <vt:i4>5</vt:i4>
      </vt:variant>
      <vt:variant>
        <vt:lpwstr>http://ec.europa.eu/programmes/horizon2020/</vt:lpwstr>
      </vt:variant>
      <vt:variant>
        <vt:lpwstr/>
      </vt:variant>
      <vt:variant>
        <vt:i4>5701672</vt:i4>
      </vt:variant>
      <vt:variant>
        <vt:i4>0</vt:i4>
      </vt:variant>
      <vt:variant>
        <vt:i4>0</vt:i4>
      </vt:variant>
      <vt:variant>
        <vt:i4>5</vt:i4>
      </vt:variant>
      <vt:variant>
        <vt:lpwstr>http://europa.eu/youreurope/business/funding-grants/access-to-finance/index_sl.htm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Evropska komisija in skupina Evropske investicijske banke (EIB) sta predstavili novo generacijo finančnih instrumentov in svetovalnih storitev EU, s katerimi želita inovativnim podjetjem olajšati dostop do financiranja</dc:title>
  <dc:subject/>
  <dc:creator>Darja</dc:creator>
  <cp:keywords/>
  <dc:description/>
  <cp:lastModifiedBy> </cp:lastModifiedBy>
  <cp:revision>3</cp:revision>
  <dcterms:created xsi:type="dcterms:W3CDTF">2014-06-13T09:33:00Z</dcterms:created>
  <dcterms:modified xsi:type="dcterms:W3CDTF">2014-06-13T09:34:00Z</dcterms:modified>
</cp:coreProperties>
</file>