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1CC13" w14:textId="77777777" w:rsidR="006A4C1A" w:rsidRPr="00467345" w:rsidRDefault="006A4C1A" w:rsidP="006A4C1A">
      <w:pPr>
        <w:tabs>
          <w:tab w:val="left" w:pos="2520"/>
          <w:tab w:val="left" w:pos="2700"/>
          <w:tab w:val="left" w:pos="3120"/>
        </w:tabs>
        <w:spacing w:before="240"/>
        <w:jc w:val="center"/>
      </w:pPr>
      <w:r w:rsidRPr="00083714">
        <w:rPr>
          <w:noProof/>
          <w:lang w:eastAsia="sl-SI"/>
        </w:rPr>
        <w:drawing>
          <wp:inline distT="0" distB="0" distL="0" distR="0" wp14:anchorId="586D8354" wp14:editId="7C541E0E">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14:paraId="19BEA35C" w14:textId="77777777" w:rsidR="006A4C1A" w:rsidRPr="00083714" w:rsidRDefault="006A4C1A" w:rsidP="006A4C1A">
      <w:pPr>
        <w:pStyle w:val="Heading2"/>
        <w:tabs>
          <w:tab w:val="left" w:pos="3120"/>
        </w:tabs>
        <w:spacing w:before="240"/>
        <w:jc w:val="center"/>
        <w:rPr>
          <w:b w:val="0"/>
          <w:bCs w:val="0"/>
          <w:i/>
          <w:iCs/>
          <w:sz w:val="22"/>
        </w:rPr>
      </w:pPr>
      <w:r w:rsidRPr="00083714">
        <w:rPr>
          <w:sz w:val="22"/>
        </w:rPr>
        <w:t>Slovensko gospodarsko in raziskovalno združenje, Bruselj</w:t>
      </w:r>
    </w:p>
    <w:p w14:paraId="418DCB93" w14:textId="77777777" w:rsidR="006A4C1A" w:rsidRPr="00083714" w:rsidRDefault="006A4C1A" w:rsidP="006A4C1A">
      <w:pPr>
        <w:pBdr>
          <w:bottom w:val="single" w:sz="6" w:space="1" w:color="auto"/>
        </w:pBdr>
        <w:tabs>
          <w:tab w:val="left" w:pos="3120"/>
        </w:tabs>
        <w:spacing w:before="240"/>
        <w:rPr>
          <w:sz w:val="16"/>
          <w:szCs w:val="16"/>
        </w:rPr>
      </w:pPr>
    </w:p>
    <w:p w14:paraId="77C7A75B" w14:textId="2F86BCB3" w:rsidR="006A4C1A" w:rsidRDefault="006A4C1A" w:rsidP="006A4C1A">
      <w:pPr>
        <w:tabs>
          <w:tab w:val="left" w:pos="3120"/>
        </w:tabs>
        <w:spacing w:before="240"/>
        <w:rPr>
          <w:b/>
        </w:rPr>
      </w:pPr>
      <w:r w:rsidRPr="00083714">
        <w:rPr>
          <w:b/>
        </w:rPr>
        <w:tab/>
      </w:r>
      <w:r>
        <w:rPr>
          <w:b/>
        </w:rPr>
        <w:t xml:space="preserve">Občasna informacija članom </w:t>
      </w:r>
      <w:r w:rsidR="00C74E42">
        <w:rPr>
          <w:b/>
        </w:rPr>
        <w:t>42</w:t>
      </w:r>
      <w:r>
        <w:rPr>
          <w:b/>
        </w:rPr>
        <w:t xml:space="preserve"> </w:t>
      </w:r>
      <w:r w:rsidRPr="00083714">
        <w:rPr>
          <w:b/>
        </w:rPr>
        <w:t>– 20</w:t>
      </w:r>
      <w:r>
        <w:rPr>
          <w:b/>
        </w:rPr>
        <w:t>22</w:t>
      </w:r>
    </w:p>
    <w:p w14:paraId="416C4FE9" w14:textId="77777777" w:rsidR="006A4C1A" w:rsidRDefault="006A4C1A" w:rsidP="006A4C1A">
      <w:pPr>
        <w:tabs>
          <w:tab w:val="left" w:pos="3120"/>
        </w:tabs>
        <w:spacing w:before="240"/>
        <w:jc w:val="center"/>
        <w:rPr>
          <w:b/>
        </w:rPr>
      </w:pPr>
      <w:r>
        <w:rPr>
          <w:b/>
        </w:rPr>
        <w:t xml:space="preserve">07. marec </w:t>
      </w:r>
      <w:r w:rsidRPr="00083714">
        <w:rPr>
          <w:b/>
        </w:rPr>
        <w:t xml:space="preserve"> 20</w:t>
      </w:r>
      <w:r>
        <w:rPr>
          <w:b/>
        </w:rPr>
        <w:t>22</w:t>
      </w:r>
    </w:p>
    <w:p w14:paraId="73426F3D" w14:textId="77777777" w:rsidR="006A4C1A" w:rsidRPr="0084452F" w:rsidRDefault="006A4C1A" w:rsidP="006A4C1A">
      <w:pPr>
        <w:tabs>
          <w:tab w:val="left" w:pos="3120"/>
        </w:tabs>
        <w:spacing w:before="240"/>
        <w:jc w:val="center"/>
        <w:rPr>
          <w:b/>
        </w:rPr>
      </w:pPr>
    </w:p>
    <w:p w14:paraId="56B26FF2" w14:textId="77777777" w:rsidR="006A4C1A" w:rsidRDefault="006A4C1A" w:rsidP="006A4C1A">
      <w:pPr>
        <w:spacing w:after="240"/>
        <w:jc w:val="center"/>
        <w:rPr>
          <w:rFonts w:ascii="Arial" w:hAnsi="Arial"/>
          <w:b/>
          <w:i/>
          <w:sz w:val="22"/>
          <w:szCs w:val="22"/>
        </w:rPr>
      </w:pPr>
      <w:r>
        <w:rPr>
          <w:b/>
          <w:color w:val="993300"/>
          <w:sz w:val="32"/>
          <w:szCs w:val="32"/>
        </w:rPr>
        <w:t xml:space="preserve">Začelo se je tekmovanje za letošnjo </w:t>
      </w:r>
      <w:r w:rsidR="00D540C9">
        <w:rPr>
          <w:b/>
          <w:color w:val="993300"/>
          <w:sz w:val="32"/>
          <w:szCs w:val="32"/>
        </w:rPr>
        <w:t>nagrado Evropska prestolnica in</w:t>
      </w:r>
      <w:r>
        <w:rPr>
          <w:b/>
          <w:color w:val="993300"/>
          <w:sz w:val="32"/>
          <w:szCs w:val="32"/>
        </w:rPr>
        <w:t>ovacij (iCapital)</w:t>
      </w:r>
    </w:p>
    <w:p w14:paraId="167D6943" w14:textId="77777777" w:rsidR="0045530A" w:rsidRPr="006A4C1A" w:rsidRDefault="0045530A" w:rsidP="00226B70">
      <w:pPr>
        <w:spacing w:after="240"/>
        <w:jc w:val="both"/>
        <w:rPr>
          <w:rFonts w:ascii="Arial" w:hAnsi="Arial"/>
          <w:b/>
          <w:i/>
          <w:sz w:val="22"/>
          <w:szCs w:val="22"/>
        </w:rPr>
      </w:pPr>
      <w:r w:rsidRPr="006A4C1A">
        <w:rPr>
          <w:rFonts w:ascii="Arial" w:hAnsi="Arial"/>
          <w:b/>
          <w:i/>
          <w:sz w:val="22"/>
          <w:szCs w:val="22"/>
        </w:rPr>
        <w:t xml:space="preserve">Do 30. junija je odprto zbiranje prijav za letošnjo nagrado Evropska prestolnica inovacij (iCapital). </w:t>
      </w:r>
      <w:r w:rsidR="00226B70" w:rsidRPr="006A4C1A">
        <w:rPr>
          <w:rFonts w:ascii="Arial" w:hAnsi="Arial"/>
          <w:b/>
          <w:i/>
          <w:sz w:val="22"/>
          <w:szCs w:val="22"/>
        </w:rPr>
        <w:t>P</w:t>
      </w:r>
      <w:r w:rsidRPr="006A4C1A">
        <w:rPr>
          <w:rFonts w:ascii="Arial" w:hAnsi="Arial"/>
          <w:b/>
          <w:i/>
          <w:sz w:val="22"/>
          <w:szCs w:val="22"/>
        </w:rPr>
        <w:t xml:space="preserve">oudarek </w:t>
      </w:r>
      <w:r w:rsidR="00226B70" w:rsidRPr="006A4C1A">
        <w:rPr>
          <w:rFonts w:ascii="Arial" w:hAnsi="Arial"/>
          <w:b/>
          <w:i/>
          <w:sz w:val="22"/>
          <w:szCs w:val="22"/>
        </w:rPr>
        <w:t xml:space="preserve">je </w:t>
      </w:r>
      <w:r w:rsidRPr="006A4C1A">
        <w:rPr>
          <w:rFonts w:ascii="Arial" w:hAnsi="Arial"/>
          <w:b/>
          <w:i/>
          <w:sz w:val="22"/>
          <w:szCs w:val="22"/>
        </w:rPr>
        <w:t>na prispevku mest k razvoju lokalnih inovacijskih ekosistemov v korist inovacij, ki spreminjajo pravila igre, in blaginj</w:t>
      </w:r>
      <w:r w:rsidR="00226B70" w:rsidRPr="006A4C1A">
        <w:rPr>
          <w:rFonts w:ascii="Arial" w:hAnsi="Arial"/>
          <w:b/>
          <w:i/>
          <w:sz w:val="22"/>
          <w:szCs w:val="22"/>
        </w:rPr>
        <w:t>i</w:t>
      </w:r>
      <w:r w:rsidRPr="006A4C1A">
        <w:rPr>
          <w:rFonts w:ascii="Arial" w:hAnsi="Arial"/>
          <w:b/>
          <w:i/>
          <w:sz w:val="22"/>
          <w:szCs w:val="22"/>
        </w:rPr>
        <w:t xml:space="preserve"> javnosti.  Podeljujejo jo v dveh kategorijah. </w:t>
      </w:r>
      <w:r w:rsidR="00226B70" w:rsidRPr="006A4C1A">
        <w:rPr>
          <w:rFonts w:ascii="Arial" w:hAnsi="Arial"/>
          <w:b/>
          <w:i/>
          <w:sz w:val="22"/>
          <w:szCs w:val="22"/>
        </w:rPr>
        <w:t>Prva je</w:t>
      </w:r>
      <w:r w:rsidRPr="006A4C1A">
        <w:rPr>
          <w:rFonts w:ascii="Arial" w:hAnsi="Arial"/>
          <w:b/>
          <w:i/>
          <w:sz w:val="22"/>
          <w:szCs w:val="22"/>
        </w:rPr>
        <w:t xml:space="preserve"> namenjena mestom, ki imajo vsaj 250 tisoč prebivalcev</w:t>
      </w:r>
      <w:r w:rsidR="00226B70" w:rsidRPr="006A4C1A">
        <w:rPr>
          <w:rFonts w:ascii="Arial" w:hAnsi="Arial"/>
          <w:b/>
          <w:i/>
          <w:sz w:val="22"/>
          <w:szCs w:val="22"/>
        </w:rPr>
        <w:t>. Zmagovalec dobi 1 milijon evrov, drugi in tretji pa po 100.000 evrov. Druga kategorija je namenjena mestom s 50 tisoč do 249.999 prebivalci.</w:t>
      </w:r>
      <w:r w:rsidRPr="006A4C1A">
        <w:rPr>
          <w:rFonts w:ascii="Arial" w:hAnsi="Arial"/>
          <w:b/>
          <w:i/>
          <w:sz w:val="22"/>
          <w:szCs w:val="22"/>
        </w:rPr>
        <w:t xml:space="preserve"> </w:t>
      </w:r>
      <w:r w:rsidR="00226B70" w:rsidRPr="006A4C1A">
        <w:rPr>
          <w:rFonts w:ascii="Arial" w:hAnsi="Arial"/>
          <w:b/>
          <w:i/>
          <w:sz w:val="22"/>
          <w:szCs w:val="22"/>
        </w:rPr>
        <w:t xml:space="preserve">Zmagovalec dobi 500.000 evrov, druga in tretja po 50.000 evrov. </w:t>
      </w:r>
      <w:r w:rsidRPr="006A4C1A">
        <w:rPr>
          <w:rFonts w:ascii="Arial" w:hAnsi="Arial"/>
          <w:b/>
          <w:i/>
          <w:sz w:val="22"/>
          <w:szCs w:val="22"/>
        </w:rPr>
        <w:t>Člani lahko dobijo več informacij na SBRA.</w:t>
      </w:r>
    </w:p>
    <w:p w14:paraId="643BFAB7" w14:textId="77777777" w:rsidR="00D540C9" w:rsidRPr="00D540C9" w:rsidRDefault="00D540C9" w:rsidP="00D540C9">
      <w:pPr>
        <w:spacing w:after="240"/>
        <w:jc w:val="both"/>
        <w:rPr>
          <w:rFonts w:ascii="Arial" w:hAnsi="Arial"/>
          <w:sz w:val="20"/>
          <w:szCs w:val="20"/>
        </w:rPr>
      </w:pPr>
      <w:r w:rsidRPr="00D540C9">
        <w:rPr>
          <w:rFonts w:ascii="Arial" w:hAnsi="Arial"/>
          <w:sz w:val="20"/>
          <w:szCs w:val="20"/>
        </w:rPr>
        <w:t>Nagrada za mesta, ki imajo 250 tisoč in več prebivalcev, se imenuje Evropska prestolnica inovacij (European Capital of Innovation). Nagrada za mesta, ki imajo od 50. Tisoč do 249.999 prebivalcev, pa Vzhajajoče inovativno mesto (European Rising Innovative City).</w:t>
      </w:r>
    </w:p>
    <w:p w14:paraId="6C0E3457" w14:textId="77777777" w:rsidR="00D540C9" w:rsidRDefault="00D540C9" w:rsidP="00226B70">
      <w:pPr>
        <w:spacing w:after="240"/>
        <w:jc w:val="both"/>
        <w:rPr>
          <w:rFonts w:ascii="Arial" w:hAnsi="Arial"/>
          <w:b/>
          <w:sz w:val="20"/>
          <w:szCs w:val="20"/>
        </w:rPr>
      </w:pPr>
      <w:r>
        <w:rPr>
          <w:rFonts w:ascii="Arial" w:hAnsi="Arial"/>
          <w:b/>
          <w:sz w:val="20"/>
          <w:szCs w:val="20"/>
        </w:rPr>
        <w:t>Slika 1: Časovnica izvedbe tekmovanja</w:t>
      </w:r>
    </w:p>
    <w:p w14:paraId="77FAE317" w14:textId="77777777" w:rsidR="00D540C9" w:rsidRDefault="00D540C9" w:rsidP="00226B70">
      <w:pPr>
        <w:spacing w:after="240"/>
        <w:jc w:val="both"/>
        <w:rPr>
          <w:rFonts w:ascii="Arial" w:hAnsi="Arial"/>
          <w:b/>
          <w:sz w:val="20"/>
          <w:szCs w:val="20"/>
        </w:rPr>
      </w:pPr>
      <w:r>
        <w:rPr>
          <w:rFonts w:ascii="Arial" w:hAnsi="Arial"/>
          <w:b/>
          <w:noProof/>
          <w:sz w:val="20"/>
          <w:szCs w:val="20"/>
          <w:lang w:eastAsia="sl-SI" w:bidi="ar-SA"/>
        </w:rPr>
        <w:drawing>
          <wp:inline distT="0" distB="0" distL="0" distR="0" wp14:anchorId="4211F88B" wp14:editId="4678D745">
            <wp:extent cx="5476875" cy="2438400"/>
            <wp:effectExtent l="19050" t="0" r="9525"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476875" cy="2438400"/>
                    </a:xfrm>
                    <a:prstGeom prst="rect">
                      <a:avLst/>
                    </a:prstGeom>
                    <a:noFill/>
                    <a:ln w="9525">
                      <a:noFill/>
                      <a:miter lim="800000"/>
                      <a:headEnd/>
                      <a:tailEnd/>
                    </a:ln>
                  </pic:spPr>
                </pic:pic>
              </a:graphicData>
            </a:graphic>
          </wp:inline>
        </w:drawing>
      </w:r>
    </w:p>
    <w:p w14:paraId="6EE6E25D" w14:textId="77777777" w:rsidR="00D540C9" w:rsidRPr="00D540C9" w:rsidRDefault="00D540C9" w:rsidP="00226B70">
      <w:pPr>
        <w:spacing w:after="240"/>
        <w:jc w:val="both"/>
        <w:rPr>
          <w:rFonts w:ascii="Arial" w:hAnsi="Arial"/>
          <w:sz w:val="20"/>
          <w:szCs w:val="20"/>
        </w:rPr>
      </w:pPr>
      <w:r w:rsidRPr="00D540C9">
        <w:rPr>
          <w:rFonts w:ascii="Arial" w:hAnsi="Arial"/>
          <w:sz w:val="20"/>
          <w:szCs w:val="20"/>
        </w:rPr>
        <w:t>Vir: Evropska komisija</w:t>
      </w:r>
    </w:p>
    <w:p w14:paraId="2A86F11D" w14:textId="77777777" w:rsidR="00D540C9" w:rsidRDefault="00D540C9" w:rsidP="00226B70">
      <w:pPr>
        <w:spacing w:after="240"/>
        <w:jc w:val="both"/>
        <w:rPr>
          <w:rFonts w:ascii="Arial" w:hAnsi="Arial"/>
          <w:b/>
          <w:sz w:val="20"/>
          <w:szCs w:val="20"/>
        </w:rPr>
      </w:pPr>
    </w:p>
    <w:p w14:paraId="15DCAB99" w14:textId="77777777" w:rsidR="00655F08" w:rsidRPr="006A4C1A" w:rsidRDefault="006A4C1A" w:rsidP="00226B70">
      <w:pPr>
        <w:spacing w:after="240"/>
        <w:jc w:val="both"/>
        <w:rPr>
          <w:rFonts w:ascii="Arial" w:hAnsi="Arial"/>
          <w:b/>
          <w:sz w:val="20"/>
          <w:szCs w:val="20"/>
        </w:rPr>
      </w:pPr>
      <w:r>
        <w:rPr>
          <w:rFonts w:ascii="Arial" w:hAnsi="Arial"/>
          <w:b/>
          <w:sz w:val="20"/>
          <w:szCs w:val="20"/>
        </w:rPr>
        <w:lastRenderedPageBreak/>
        <w:t>Tabela 1: K</w:t>
      </w:r>
      <w:r w:rsidR="00655F08" w:rsidRPr="006A4C1A">
        <w:rPr>
          <w:rFonts w:ascii="Arial" w:hAnsi="Arial"/>
          <w:b/>
          <w:sz w:val="20"/>
          <w:szCs w:val="20"/>
        </w:rPr>
        <w:t>riteriji za izbiro zmagovalcev</w:t>
      </w:r>
    </w:p>
    <w:tbl>
      <w:tblPr>
        <w:tblStyle w:val="TableGrid"/>
        <w:tblW w:w="0" w:type="auto"/>
        <w:tblLook w:val="04A0" w:firstRow="1" w:lastRow="0" w:firstColumn="1" w:lastColumn="0" w:noHBand="0" w:noVBand="1"/>
      </w:tblPr>
      <w:tblGrid>
        <w:gridCol w:w="4606"/>
        <w:gridCol w:w="4606"/>
      </w:tblGrid>
      <w:tr w:rsidR="00655F08" w:rsidRPr="003941AD" w14:paraId="0E6D42F3" w14:textId="77777777" w:rsidTr="00655F08">
        <w:tc>
          <w:tcPr>
            <w:tcW w:w="4606" w:type="dxa"/>
          </w:tcPr>
          <w:p w14:paraId="4DAFB9B0" w14:textId="77777777" w:rsidR="00655F08" w:rsidRPr="003941AD" w:rsidRDefault="00655F08" w:rsidP="00226B70">
            <w:pPr>
              <w:spacing w:after="240"/>
              <w:jc w:val="both"/>
              <w:rPr>
                <w:rFonts w:ascii="Arial" w:hAnsi="Arial"/>
                <w:b/>
                <w:sz w:val="20"/>
                <w:szCs w:val="20"/>
              </w:rPr>
            </w:pPr>
            <w:r w:rsidRPr="003941AD">
              <w:rPr>
                <w:rFonts w:ascii="Arial" w:hAnsi="Arial"/>
                <w:b/>
                <w:sz w:val="20"/>
                <w:szCs w:val="20"/>
              </w:rPr>
              <w:t>Kriterij</w:t>
            </w:r>
          </w:p>
        </w:tc>
        <w:tc>
          <w:tcPr>
            <w:tcW w:w="4606" w:type="dxa"/>
          </w:tcPr>
          <w:p w14:paraId="69737C1D" w14:textId="77777777" w:rsidR="00655F08" w:rsidRPr="003941AD" w:rsidRDefault="00655F08" w:rsidP="00226B70">
            <w:pPr>
              <w:spacing w:after="240"/>
              <w:jc w:val="both"/>
              <w:rPr>
                <w:rFonts w:ascii="Arial" w:hAnsi="Arial"/>
                <w:b/>
                <w:sz w:val="20"/>
                <w:szCs w:val="20"/>
              </w:rPr>
            </w:pPr>
            <w:r w:rsidRPr="003941AD">
              <w:rPr>
                <w:rFonts w:ascii="Arial" w:hAnsi="Arial"/>
                <w:b/>
                <w:sz w:val="20"/>
                <w:szCs w:val="20"/>
              </w:rPr>
              <w:t>Opis kriterija</w:t>
            </w:r>
          </w:p>
        </w:tc>
      </w:tr>
      <w:tr w:rsidR="00655F08" w:rsidRPr="003941AD" w14:paraId="29598FD8" w14:textId="77777777" w:rsidTr="00655F08">
        <w:tc>
          <w:tcPr>
            <w:tcW w:w="4606" w:type="dxa"/>
          </w:tcPr>
          <w:p w14:paraId="10AE12A9" w14:textId="77777777" w:rsidR="00655F08" w:rsidRPr="003941AD" w:rsidRDefault="00655F08" w:rsidP="00655F08">
            <w:pPr>
              <w:spacing w:after="240"/>
              <w:jc w:val="both"/>
              <w:rPr>
                <w:rFonts w:ascii="Arial" w:hAnsi="Arial"/>
                <w:b/>
                <w:sz w:val="20"/>
                <w:szCs w:val="20"/>
              </w:rPr>
            </w:pPr>
            <w:r w:rsidRPr="003941AD">
              <w:rPr>
                <w:rFonts w:ascii="Arial" w:hAnsi="Arial"/>
                <w:b/>
                <w:sz w:val="20"/>
                <w:szCs w:val="20"/>
              </w:rPr>
              <w:t xml:space="preserve">Eksperimentiranje </w:t>
            </w:r>
          </w:p>
        </w:tc>
        <w:tc>
          <w:tcPr>
            <w:tcW w:w="4606" w:type="dxa"/>
          </w:tcPr>
          <w:p w14:paraId="010EA195" w14:textId="77777777" w:rsidR="00655F08" w:rsidRPr="003941AD" w:rsidRDefault="00655F08" w:rsidP="00226B70">
            <w:pPr>
              <w:spacing w:after="240"/>
              <w:jc w:val="both"/>
              <w:rPr>
                <w:rFonts w:ascii="Arial" w:hAnsi="Arial"/>
                <w:sz w:val="18"/>
                <w:szCs w:val="18"/>
              </w:rPr>
            </w:pPr>
            <w:r w:rsidRPr="003941AD">
              <w:rPr>
                <w:rFonts w:ascii="Arial" w:hAnsi="Arial"/>
                <w:sz w:val="18"/>
                <w:szCs w:val="18"/>
              </w:rPr>
              <w:t>Inovativni koncepti, procesi, orodja in modeli upravljanja, ki dokazujejo zavezanost mesta, da bo delovalo kot testni poligon za inovativne prakse, hkrati pa zagotavlja vključevanje teh praks v običajen proces urbanega razvoja.</w:t>
            </w:r>
          </w:p>
        </w:tc>
      </w:tr>
      <w:tr w:rsidR="00655F08" w:rsidRPr="003941AD" w14:paraId="14B7254E" w14:textId="77777777" w:rsidTr="00655F08">
        <w:tc>
          <w:tcPr>
            <w:tcW w:w="4606" w:type="dxa"/>
          </w:tcPr>
          <w:p w14:paraId="6BF02C95" w14:textId="77777777" w:rsidR="00655F08" w:rsidRPr="003941AD" w:rsidRDefault="00655F08" w:rsidP="00655F08">
            <w:pPr>
              <w:spacing w:after="240"/>
              <w:jc w:val="both"/>
              <w:rPr>
                <w:rFonts w:ascii="Arial" w:hAnsi="Arial"/>
                <w:b/>
                <w:sz w:val="20"/>
                <w:szCs w:val="20"/>
              </w:rPr>
            </w:pPr>
            <w:r w:rsidRPr="003941AD">
              <w:rPr>
                <w:rFonts w:ascii="Arial" w:hAnsi="Arial"/>
                <w:b/>
                <w:sz w:val="20"/>
                <w:szCs w:val="20"/>
              </w:rPr>
              <w:t xml:space="preserve">Pospeševanje </w:t>
            </w:r>
          </w:p>
        </w:tc>
        <w:tc>
          <w:tcPr>
            <w:tcW w:w="4606" w:type="dxa"/>
          </w:tcPr>
          <w:p w14:paraId="77EB30AC" w14:textId="77777777" w:rsidR="00655F08" w:rsidRPr="003941AD" w:rsidRDefault="00655F08" w:rsidP="00655F08">
            <w:pPr>
              <w:spacing w:after="240"/>
              <w:jc w:val="both"/>
              <w:rPr>
                <w:rFonts w:ascii="Arial" w:hAnsi="Arial"/>
                <w:sz w:val="18"/>
                <w:szCs w:val="18"/>
              </w:rPr>
            </w:pPr>
            <w:r w:rsidRPr="003941AD">
              <w:rPr>
                <w:rFonts w:ascii="Arial" w:hAnsi="Arial"/>
                <w:sz w:val="18"/>
                <w:szCs w:val="18"/>
              </w:rPr>
              <w:t>Pospeševanje rasti visoko inovativnih zagonskih podjetij in malih in srednjih podjetij z vzpostavitvijo inovacijam prijaznega pravnega okvira, ustvarjanjem okolja, ki spodbuja rast, zasebne in javne naložbe, vire, raznolikost in talente, ter spodbujanjem povpraševanja po inovacijah z učinkovitimi javnimi naročili na področju inovacij.</w:t>
            </w:r>
          </w:p>
        </w:tc>
      </w:tr>
      <w:tr w:rsidR="00655F08" w:rsidRPr="003941AD" w14:paraId="24A887E3" w14:textId="77777777" w:rsidTr="00655F08">
        <w:tc>
          <w:tcPr>
            <w:tcW w:w="4606" w:type="dxa"/>
          </w:tcPr>
          <w:p w14:paraId="511EEDB0" w14:textId="77777777" w:rsidR="00655F08" w:rsidRPr="003941AD" w:rsidRDefault="00655F08" w:rsidP="00655F08">
            <w:pPr>
              <w:spacing w:after="240"/>
              <w:jc w:val="both"/>
              <w:rPr>
                <w:rFonts w:ascii="Arial" w:hAnsi="Arial"/>
                <w:b/>
                <w:sz w:val="20"/>
                <w:szCs w:val="20"/>
              </w:rPr>
            </w:pPr>
            <w:r w:rsidRPr="003941AD">
              <w:rPr>
                <w:rFonts w:ascii="Arial" w:hAnsi="Arial"/>
                <w:b/>
                <w:sz w:val="20"/>
                <w:szCs w:val="20"/>
              </w:rPr>
              <w:t xml:space="preserve">Oblikovanje ekosistema </w:t>
            </w:r>
          </w:p>
        </w:tc>
        <w:tc>
          <w:tcPr>
            <w:tcW w:w="4606" w:type="dxa"/>
          </w:tcPr>
          <w:p w14:paraId="2A91564D" w14:textId="77777777" w:rsidR="00655F08" w:rsidRPr="003941AD" w:rsidRDefault="00655F08" w:rsidP="00226B70">
            <w:pPr>
              <w:spacing w:after="240"/>
              <w:jc w:val="both"/>
              <w:rPr>
                <w:rFonts w:ascii="Arial" w:hAnsi="Arial"/>
                <w:sz w:val="18"/>
                <w:szCs w:val="18"/>
              </w:rPr>
            </w:pPr>
            <w:r w:rsidRPr="003941AD">
              <w:rPr>
                <w:rFonts w:ascii="Arial" w:hAnsi="Arial"/>
                <w:sz w:val="18"/>
                <w:szCs w:val="18"/>
              </w:rPr>
              <w:t>Izkoriščanje potenciala mest kot spodbujevalcev lokalnega inovacijskega ekosistema s spodbujanjem sinergij med različnimi akterji inovacijskega ekosistema, od javnosti, industrije, zagonskih podjetij, civilne družbe, splošne javnosti do akademske sfere, da bi prispevali k razvoju inovacijskega ekosistema v mestu.</w:t>
            </w:r>
          </w:p>
        </w:tc>
      </w:tr>
      <w:tr w:rsidR="00655F08" w:rsidRPr="003941AD" w14:paraId="752E7E94" w14:textId="77777777" w:rsidTr="00655F08">
        <w:tc>
          <w:tcPr>
            <w:tcW w:w="4606" w:type="dxa"/>
          </w:tcPr>
          <w:p w14:paraId="7071E6FA" w14:textId="77777777" w:rsidR="00655F08" w:rsidRPr="003941AD" w:rsidRDefault="00655F08" w:rsidP="00655F08">
            <w:pPr>
              <w:spacing w:after="240"/>
              <w:jc w:val="both"/>
              <w:rPr>
                <w:rFonts w:ascii="Arial" w:hAnsi="Arial"/>
                <w:b/>
                <w:sz w:val="20"/>
                <w:szCs w:val="20"/>
              </w:rPr>
            </w:pPr>
            <w:r w:rsidRPr="003941AD">
              <w:rPr>
                <w:rFonts w:ascii="Arial" w:hAnsi="Arial"/>
                <w:b/>
                <w:sz w:val="20"/>
                <w:szCs w:val="20"/>
              </w:rPr>
              <w:t xml:space="preserve">Širjenje </w:t>
            </w:r>
          </w:p>
        </w:tc>
        <w:tc>
          <w:tcPr>
            <w:tcW w:w="4606" w:type="dxa"/>
          </w:tcPr>
          <w:p w14:paraId="5CB70B04" w14:textId="77777777" w:rsidR="00655F08" w:rsidRPr="003941AD" w:rsidRDefault="00655F08" w:rsidP="006A4C1A">
            <w:pPr>
              <w:spacing w:after="240"/>
              <w:jc w:val="both"/>
              <w:rPr>
                <w:rFonts w:ascii="Arial" w:hAnsi="Arial"/>
                <w:sz w:val="18"/>
                <w:szCs w:val="18"/>
              </w:rPr>
            </w:pPr>
            <w:r w:rsidRPr="003941AD">
              <w:rPr>
                <w:rFonts w:ascii="Arial" w:hAnsi="Arial"/>
                <w:sz w:val="18"/>
                <w:szCs w:val="18"/>
              </w:rPr>
              <w:t xml:space="preserve">Delovanje kot vzor drugim mestom tako, da </w:t>
            </w:r>
            <w:r w:rsidR="006A4C1A" w:rsidRPr="003941AD">
              <w:rPr>
                <w:rFonts w:ascii="Arial" w:hAnsi="Arial"/>
                <w:sz w:val="18"/>
                <w:szCs w:val="18"/>
              </w:rPr>
              <w:t>prijavitelj</w:t>
            </w:r>
            <w:r w:rsidRPr="003941AD">
              <w:rPr>
                <w:rFonts w:ascii="Arial" w:hAnsi="Arial"/>
                <w:sz w:val="18"/>
                <w:szCs w:val="18"/>
              </w:rPr>
              <w:t xml:space="preserve"> podpira razširjanje in ponavljanje preizkušenih rešitev, ki spodbujajo lokalni inovacijski ekosistem, spodbujanja vzajemno učenje, prenos znanja in krepitev</w:t>
            </w:r>
            <w:r w:rsidR="006A4C1A" w:rsidRPr="003941AD">
              <w:rPr>
                <w:rFonts w:ascii="Arial" w:hAnsi="Arial"/>
                <w:sz w:val="18"/>
                <w:szCs w:val="18"/>
              </w:rPr>
              <w:t xml:space="preserve"> zmogljivosti ter </w:t>
            </w:r>
            <w:r w:rsidRPr="003941AD">
              <w:rPr>
                <w:rFonts w:ascii="Arial" w:hAnsi="Arial"/>
                <w:sz w:val="18"/>
                <w:szCs w:val="18"/>
              </w:rPr>
              <w:t>krepit</w:t>
            </w:r>
            <w:r w:rsidR="006A4C1A" w:rsidRPr="003941AD">
              <w:rPr>
                <w:rFonts w:ascii="Arial" w:hAnsi="Arial"/>
                <w:sz w:val="18"/>
                <w:szCs w:val="18"/>
              </w:rPr>
              <w:t>ev</w:t>
            </w:r>
            <w:r w:rsidRPr="003941AD">
              <w:rPr>
                <w:rFonts w:ascii="Arial" w:hAnsi="Arial"/>
                <w:sz w:val="18"/>
                <w:szCs w:val="18"/>
              </w:rPr>
              <w:t xml:space="preserve"> sodelovanja in sinergij</w:t>
            </w:r>
            <w:r w:rsidR="006A4C1A" w:rsidRPr="003941AD">
              <w:rPr>
                <w:rFonts w:ascii="Arial" w:hAnsi="Arial"/>
                <w:sz w:val="18"/>
                <w:szCs w:val="18"/>
              </w:rPr>
              <w:t>e</w:t>
            </w:r>
            <w:r w:rsidRPr="003941AD">
              <w:rPr>
                <w:rFonts w:ascii="Arial" w:hAnsi="Arial"/>
                <w:sz w:val="18"/>
                <w:szCs w:val="18"/>
              </w:rPr>
              <w:t xml:space="preserve"> med mesti, ki so v ospredju pri spodbujanju lokalnega inovacijskega ekosistema, in tistimi, ki še preučujejo in preizkušajo svojo vlogo spodbujevalca inovacij.</w:t>
            </w:r>
          </w:p>
        </w:tc>
      </w:tr>
      <w:tr w:rsidR="00655F08" w:rsidRPr="003941AD" w14:paraId="3E1A300F" w14:textId="77777777" w:rsidTr="00655F08">
        <w:tc>
          <w:tcPr>
            <w:tcW w:w="4606" w:type="dxa"/>
          </w:tcPr>
          <w:p w14:paraId="13BAE3B6" w14:textId="77777777" w:rsidR="00655F08" w:rsidRPr="003941AD" w:rsidRDefault="006A4C1A" w:rsidP="006A4C1A">
            <w:pPr>
              <w:spacing w:after="240"/>
              <w:jc w:val="both"/>
              <w:rPr>
                <w:rFonts w:ascii="Arial" w:hAnsi="Arial"/>
                <w:b/>
                <w:sz w:val="20"/>
                <w:szCs w:val="20"/>
              </w:rPr>
            </w:pPr>
            <w:r w:rsidRPr="003941AD">
              <w:rPr>
                <w:rFonts w:ascii="Arial" w:hAnsi="Arial"/>
                <w:b/>
                <w:sz w:val="20"/>
                <w:szCs w:val="20"/>
              </w:rPr>
              <w:t xml:space="preserve">Inovativna vizija mesta </w:t>
            </w:r>
          </w:p>
        </w:tc>
        <w:tc>
          <w:tcPr>
            <w:tcW w:w="4606" w:type="dxa"/>
          </w:tcPr>
          <w:p w14:paraId="03BE7EFC" w14:textId="77777777" w:rsidR="00655F08" w:rsidRPr="003941AD" w:rsidRDefault="006A4C1A" w:rsidP="00226B70">
            <w:pPr>
              <w:spacing w:after="240"/>
              <w:jc w:val="both"/>
              <w:rPr>
                <w:rFonts w:ascii="Arial" w:hAnsi="Arial"/>
                <w:sz w:val="18"/>
                <w:szCs w:val="18"/>
              </w:rPr>
            </w:pPr>
            <w:r w:rsidRPr="003941AD">
              <w:rPr>
                <w:rFonts w:ascii="Arial" w:hAnsi="Arial"/>
                <w:sz w:val="18"/>
                <w:szCs w:val="18"/>
              </w:rPr>
              <w:t>Prijavitelji morajo predstaviti svojo dolgoročno strateško vizijo/načrt in poudariti inovativne pobude, ki so pozitivno prispevale k preoblikovanju mesta in ki bodo še naprej podpirale razvoj trajnostnega in odpornega inovacijskega ekosistema, ki zagotavlja zeleni in digitalni prehod.</w:t>
            </w:r>
          </w:p>
        </w:tc>
      </w:tr>
    </w:tbl>
    <w:p w14:paraId="0DB2973A" w14:textId="77777777" w:rsidR="00655F08" w:rsidRPr="003941AD" w:rsidRDefault="006A4C1A" w:rsidP="00226B70">
      <w:pPr>
        <w:spacing w:after="240"/>
        <w:jc w:val="both"/>
        <w:rPr>
          <w:rFonts w:ascii="Arial" w:hAnsi="Arial"/>
          <w:sz w:val="18"/>
          <w:szCs w:val="18"/>
        </w:rPr>
      </w:pPr>
      <w:r w:rsidRPr="003941AD">
        <w:rPr>
          <w:rFonts w:ascii="Arial" w:hAnsi="Arial"/>
          <w:sz w:val="18"/>
          <w:szCs w:val="18"/>
        </w:rPr>
        <w:t>Vir: Evropska komisija</w:t>
      </w:r>
    </w:p>
    <w:p w14:paraId="17605581" w14:textId="77777777" w:rsidR="006A4C1A" w:rsidRDefault="006A4C1A" w:rsidP="00D540C9">
      <w:pPr>
        <w:spacing w:after="240"/>
        <w:jc w:val="both"/>
        <w:rPr>
          <w:rFonts w:ascii="Arial" w:hAnsi="Arial"/>
          <w:sz w:val="20"/>
          <w:szCs w:val="20"/>
        </w:rPr>
      </w:pPr>
      <w:r>
        <w:rPr>
          <w:rFonts w:ascii="Arial" w:hAnsi="Arial"/>
          <w:sz w:val="20"/>
          <w:szCs w:val="20"/>
        </w:rPr>
        <w:t>Na letošnje tekmovanje se ne morejo prijaviti mesta, ki so že bila zmagovalci tekmovanja in drugouvrščeni mesti na tekmovanju za prestolnico inovacij 2021. Mesta, ki so že prejela nagrado EU ali Euratom za enake dosežke, ne morejo zanje dobiti še nagrade za evropsko prestolnico inovacij.</w:t>
      </w:r>
    </w:p>
    <w:p w14:paraId="65BCE9A3" w14:textId="77777777" w:rsidR="006A4C1A" w:rsidRPr="006A4C1A" w:rsidRDefault="006A4C1A" w:rsidP="00226B70">
      <w:pPr>
        <w:spacing w:after="240"/>
        <w:jc w:val="both"/>
        <w:rPr>
          <w:rFonts w:ascii="Arial" w:hAnsi="Arial"/>
          <w:b/>
          <w:sz w:val="20"/>
          <w:szCs w:val="20"/>
        </w:rPr>
      </w:pPr>
      <w:r w:rsidRPr="006A4C1A">
        <w:rPr>
          <w:rFonts w:ascii="Arial" w:hAnsi="Arial"/>
          <w:b/>
          <w:sz w:val="20"/>
          <w:szCs w:val="20"/>
        </w:rPr>
        <w:t>Koristne informacije:</w:t>
      </w:r>
    </w:p>
    <w:p w14:paraId="1B5BFFC3" w14:textId="77777777" w:rsidR="006A4C1A" w:rsidRPr="006A4C1A" w:rsidRDefault="006A4C1A" w:rsidP="006A4C1A">
      <w:pPr>
        <w:pStyle w:val="ListParagraph"/>
        <w:numPr>
          <w:ilvl w:val="0"/>
          <w:numId w:val="1"/>
        </w:numPr>
        <w:spacing w:after="240"/>
        <w:jc w:val="both"/>
        <w:rPr>
          <w:rFonts w:ascii="Arial" w:hAnsi="Arial"/>
          <w:sz w:val="20"/>
          <w:szCs w:val="20"/>
        </w:rPr>
      </w:pPr>
      <w:r w:rsidRPr="006A4C1A">
        <w:rPr>
          <w:rFonts w:ascii="Arial" w:hAnsi="Arial"/>
          <w:sz w:val="20"/>
          <w:szCs w:val="20"/>
        </w:rPr>
        <w:t>Spletna stran s podatki o razpisu in povezavami na razpis, kriteriji za izbiro zmagovalcev in pravili za prijavo:</w:t>
      </w:r>
    </w:p>
    <w:p w14:paraId="336FA4BF" w14:textId="77777777" w:rsidR="006A4C1A" w:rsidRPr="006A4C1A" w:rsidRDefault="00C74E42" w:rsidP="006A4C1A">
      <w:pPr>
        <w:pStyle w:val="ListParagraph"/>
        <w:numPr>
          <w:ilvl w:val="0"/>
          <w:numId w:val="1"/>
        </w:numPr>
        <w:spacing w:after="240"/>
        <w:jc w:val="both"/>
        <w:rPr>
          <w:rFonts w:ascii="Arial" w:hAnsi="Arial"/>
          <w:sz w:val="20"/>
          <w:szCs w:val="20"/>
        </w:rPr>
      </w:pPr>
      <w:hyperlink r:id="rId7" w:history="1">
        <w:r w:rsidR="006A4C1A" w:rsidRPr="006A4C1A">
          <w:rPr>
            <w:rStyle w:val="Hyperlink"/>
            <w:rFonts w:ascii="Arial" w:hAnsi="Arial"/>
            <w:sz w:val="20"/>
            <w:szCs w:val="20"/>
          </w:rPr>
          <w:t>https://eic.ec.europa.eu/eic-funding-opportunities/eic-prizes/european-capital-innovation-awards_en</w:t>
        </w:r>
      </w:hyperlink>
    </w:p>
    <w:p w14:paraId="5D10031C" w14:textId="77777777" w:rsidR="006A4C1A" w:rsidRDefault="006A4C1A" w:rsidP="00226B70">
      <w:pPr>
        <w:jc w:val="both"/>
        <w:rPr>
          <w:rFonts w:ascii="Arial" w:hAnsi="Arial"/>
          <w:sz w:val="20"/>
          <w:szCs w:val="20"/>
        </w:rPr>
      </w:pPr>
      <w:r>
        <w:rPr>
          <w:rFonts w:ascii="Arial" w:hAnsi="Arial"/>
          <w:sz w:val="20"/>
          <w:szCs w:val="20"/>
        </w:rPr>
        <w:t>Pripravila:</w:t>
      </w:r>
    </w:p>
    <w:p w14:paraId="4A542D33" w14:textId="77777777" w:rsidR="006A4C1A" w:rsidRDefault="006A4C1A" w:rsidP="00226B70">
      <w:pPr>
        <w:jc w:val="both"/>
        <w:rPr>
          <w:rFonts w:ascii="Arial" w:hAnsi="Arial"/>
          <w:sz w:val="20"/>
          <w:szCs w:val="20"/>
        </w:rPr>
      </w:pPr>
      <w:r>
        <w:rPr>
          <w:rFonts w:ascii="Arial" w:hAnsi="Arial"/>
          <w:sz w:val="20"/>
          <w:szCs w:val="20"/>
        </w:rPr>
        <w:t>Darja Kocbek</w:t>
      </w:r>
    </w:p>
    <w:p w14:paraId="1A56EA2D" w14:textId="77777777" w:rsidR="006A4C1A" w:rsidRPr="00056171" w:rsidRDefault="006A4C1A" w:rsidP="00226B70">
      <w:pPr>
        <w:jc w:val="both"/>
        <w:rPr>
          <w:rFonts w:ascii="Arial" w:hAnsi="Arial"/>
          <w:sz w:val="20"/>
          <w:szCs w:val="20"/>
        </w:rPr>
      </w:pPr>
    </w:p>
    <w:p w14:paraId="1362825D" w14:textId="77777777" w:rsidR="0045530A" w:rsidRPr="00056171" w:rsidRDefault="0045530A" w:rsidP="00226B70">
      <w:pPr>
        <w:spacing w:after="240"/>
        <w:jc w:val="both"/>
        <w:rPr>
          <w:rFonts w:ascii="Arial" w:hAnsi="Arial"/>
          <w:sz w:val="20"/>
          <w:szCs w:val="20"/>
        </w:rPr>
      </w:pPr>
    </w:p>
    <w:p w14:paraId="452FDE3C" w14:textId="77777777" w:rsidR="00527A9B" w:rsidRDefault="00527A9B" w:rsidP="00226B70">
      <w:pPr>
        <w:spacing w:after="240"/>
      </w:pPr>
    </w:p>
    <w:sectPr w:rsidR="00527A9B" w:rsidSect="00527A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31528"/>
    <w:multiLevelType w:val="hybridMultilevel"/>
    <w:tmpl w:val="B464F2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5530A"/>
    <w:rsid w:val="00226B70"/>
    <w:rsid w:val="003941AD"/>
    <w:rsid w:val="0045530A"/>
    <w:rsid w:val="00527A9B"/>
    <w:rsid w:val="00655F08"/>
    <w:rsid w:val="006A4C1A"/>
    <w:rsid w:val="00C74E42"/>
    <w:rsid w:val="00D540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93FB0"/>
  <w15:docId w15:val="{8ABA545E-6108-4BDF-8771-04A31898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30A"/>
    <w:pPr>
      <w:spacing w:after="0" w:line="240" w:lineRule="auto"/>
    </w:pPr>
    <w:rPr>
      <w:rFonts w:ascii="Times New Roman" w:eastAsia="NSimSun" w:hAnsi="Times New Roman" w:cs="Arial"/>
      <w:kern w:val="2"/>
      <w:sz w:val="24"/>
      <w:szCs w:val="24"/>
      <w:lang w:eastAsia="zh-CN" w:bidi="hi-IN"/>
    </w:rPr>
  </w:style>
  <w:style w:type="paragraph" w:styleId="Heading2">
    <w:name w:val="heading 2"/>
    <w:basedOn w:val="Normal"/>
    <w:next w:val="Normal"/>
    <w:link w:val="Heading2Char"/>
    <w:uiPriority w:val="9"/>
    <w:unhideWhenUsed/>
    <w:qFormat/>
    <w:rsid w:val="006A4C1A"/>
    <w:pPr>
      <w:keepNext/>
      <w:keepLines/>
      <w:spacing w:before="200" w:line="276" w:lineRule="auto"/>
      <w:outlineLvl w:val="1"/>
    </w:pPr>
    <w:rPr>
      <w:rFonts w:asciiTheme="majorHAnsi" w:eastAsiaTheme="majorEastAsia" w:hAnsiTheme="majorHAnsi" w:cstheme="majorBidi"/>
      <w:b/>
      <w:bCs/>
      <w:color w:val="4F81BD" w:themeColor="accent1"/>
      <w:kern w:val="0"/>
      <w:sz w:val="26"/>
      <w:szCs w:val="26"/>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5F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A4C1A"/>
    <w:rPr>
      <w:color w:val="0000FF" w:themeColor="hyperlink"/>
      <w:u w:val="single"/>
    </w:rPr>
  </w:style>
  <w:style w:type="paragraph" w:styleId="ListParagraph">
    <w:name w:val="List Paragraph"/>
    <w:basedOn w:val="Normal"/>
    <w:uiPriority w:val="34"/>
    <w:qFormat/>
    <w:rsid w:val="006A4C1A"/>
    <w:pPr>
      <w:ind w:left="720"/>
      <w:contextualSpacing/>
    </w:pPr>
    <w:rPr>
      <w:rFonts w:cs="Mangal"/>
      <w:szCs w:val="21"/>
    </w:rPr>
  </w:style>
  <w:style w:type="character" w:customStyle="1" w:styleId="Heading2Char">
    <w:name w:val="Heading 2 Char"/>
    <w:basedOn w:val="DefaultParagraphFont"/>
    <w:link w:val="Heading2"/>
    <w:uiPriority w:val="9"/>
    <w:rsid w:val="006A4C1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6A4C1A"/>
    <w:rPr>
      <w:rFonts w:ascii="Tahoma" w:hAnsi="Tahoma" w:cs="Mangal"/>
      <w:sz w:val="16"/>
      <w:szCs w:val="14"/>
    </w:rPr>
  </w:style>
  <w:style w:type="character" w:customStyle="1" w:styleId="BalloonTextChar">
    <w:name w:val="Balloon Text Char"/>
    <w:basedOn w:val="DefaultParagraphFont"/>
    <w:link w:val="BalloonText"/>
    <w:uiPriority w:val="99"/>
    <w:semiHidden/>
    <w:rsid w:val="006A4C1A"/>
    <w:rPr>
      <w:rFonts w:ascii="Tahoma" w:eastAsia="NSimSun" w:hAnsi="Tahoma" w:cs="Mangal"/>
      <w:kern w:val="2"/>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ic.ec.europa.eu/eic-funding-opportunities/eic-prizes/european-capital-innovation-awards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3032</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Bostjan Sinkovec</cp:lastModifiedBy>
  <cp:revision>3</cp:revision>
  <dcterms:created xsi:type="dcterms:W3CDTF">2022-03-07T06:56:00Z</dcterms:created>
  <dcterms:modified xsi:type="dcterms:W3CDTF">2022-03-07T09:24:00Z</dcterms:modified>
</cp:coreProperties>
</file>