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97" w:rsidRDefault="004C2697" w:rsidP="004C2697">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C2697" w:rsidRDefault="004C2697" w:rsidP="004C2697">
      <w:pPr>
        <w:pStyle w:val="Naslov2"/>
        <w:tabs>
          <w:tab w:val="left" w:pos="3120"/>
        </w:tabs>
        <w:jc w:val="center"/>
        <w:rPr>
          <w:b w:val="0"/>
          <w:bCs w:val="0"/>
          <w:i/>
          <w:iCs/>
          <w:sz w:val="22"/>
        </w:rPr>
      </w:pPr>
      <w:r>
        <w:rPr>
          <w:b w:val="0"/>
          <w:bCs w:val="0"/>
          <w:sz w:val="22"/>
        </w:rPr>
        <w:t>Slovensko gospodarsko in raziskovalno združenje, Bruselj</w:t>
      </w:r>
    </w:p>
    <w:p w:rsidR="004C2697" w:rsidRDefault="004C2697" w:rsidP="004C2697">
      <w:pPr>
        <w:pBdr>
          <w:bottom w:val="single" w:sz="6" w:space="1" w:color="auto"/>
        </w:pBdr>
        <w:tabs>
          <w:tab w:val="left" w:pos="3120"/>
        </w:tabs>
        <w:jc w:val="center"/>
        <w:rPr>
          <w:sz w:val="16"/>
          <w:szCs w:val="16"/>
        </w:rPr>
      </w:pPr>
    </w:p>
    <w:p w:rsidR="004C2697" w:rsidRDefault="004C2697" w:rsidP="004C2697">
      <w:pPr>
        <w:tabs>
          <w:tab w:val="left" w:pos="3120"/>
        </w:tabs>
        <w:jc w:val="center"/>
        <w:rPr>
          <w:rFonts w:ascii="Arial" w:hAnsi="Arial" w:cs="Arial"/>
          <w:b/>
        </w:rPr>
      </w:pPr>
      <w:r>
        <w:rPr>
          <w:rFonts w:ascii="Arial" w:hAnsi="Arial" w:cs="Arial"/>
          <w:b/>
        </w:rPr>
        <w:t>Občasna informacija članom 42</w:t>
      </w:r>
      <w:r w:rsidRPr="002C6815">
        <w:rPr>
          <w:rFonts w:ascii="Arial" w:hAnsi="Arial" w:cs="Arial"/>
          <w:b/>
        </w:rPr>
        <w:t xml:space="preserve"> – 2017</w:t>
      </w:r>
    </w:p>
    <w:p w:rsidR="004C2697" w:rsidRPr="00A104D8" w:rsidRDefault="004C2697" w:rsidP="004C2697">
      <w:pPr>
        <w:tabs>
          <w:tab w:val="left" w:pos="3120"/>
        </w:tabs>
        <w:jc w:val="center"/>
        <w:rPr>
          <w:rFonts w:ascii="Arial" w:hAnsi="Arial" w:cs="Arial"/>
          <w:b/>
        </w:rPr>
      </w:pPr>
      <w:r>
        <w:rPr>
          <w:rFonts w:ascii="Arial" w:hAnsi="Arial" w:cs="Arial"/>
          <w:b/>
        </w:rPr>
        <w:t>13.</w:t>
      </w:r>
      <w:r w:rsidRPr="002C6815">
        <w:rPr>
          <w:rFonts w:ascii="Arial" w:hAnsi="Arial" w:cs="Arial"/>
          <w:b/>
        </w:rPr>
        <w:t xml:space="preserve"> </w:t>
      </w:r>
      <w:r>
        <w:rPr>
          <w:rFonts w:ascii="Arial" w:hAnsi="Arial" w:cs="Arial"/>
          <w:b/>
        </w:rPr>
        <w:t>marec</w:t>
      </w:r>
      <w:r w:rsidRPr="002C6815">
        <w:rPr>
          <w:rFonts w:ascii="Arial" w:hAnsi="Arial" w:cs="Arial"/>
          <w:b/>
        </w:rPr>
        <w:t xml:space="preserve"> 2017</w:t>
      </w:r>
    </w:p>
    <w:p w:rsidR="004C2697" w:rsidRDefault="004C2697" w:rsidP="004C2697">
      <w:pPr>
        <w:jc w:val="center"/>
        <w:rPr>
          <w:rFonts w:ascii="Arial" w:hAnsi="Arial" w:cs="Arial"/>
          <w:b/>
          <w:i/>
        </w:rPr>
      </w:pPr>
      <w:r>
        <w:rPr>
          <w:rFonts w:ascii="Arial" w:hAnsi="Arial" w:cs="Arial"/>
          <w:b/>
          <w:color w:val="993300"/>
          <w:sz w:val="32"/>
          <w:szCs w:val="32"/>
        </w:rPr>
        <w:t>Poročilo s priporočili, kako v EU izboljšati kibernetsko varnost energetske infrastrukture</w:t>
      </w:r>
    </w:p>
    <w:p w:rsidR="00B459D4" w:rsidRPr="00475091" w:rsidRDefault="001F4FB5" w:rsidP="00475091">
      <w:pPr>
        <w:rPr>
          <w:rFonts w:ascii="Arial" w:hAnsi="Arial" w:cs="Arial"/>
          <w:b/>
          <w:i/>
        </w:rPr>
      </w:pPr>
      <w:r w:rsidRPr="00475091">
        <w:rPr>
          <w:rFonts w:ascii="Arial" w:hAnsi="Arial" w:cs="Arial"/>
          <w:b/>
          <w:i/>
        </w:rPr>
        <w:t xml:space="preserve">Evropska komisija je objavila poročilo o kibernetski varnosti v sektorju energetike. V njem so navedena področja, kjer bi bilo treba sprejeti ukrepe za izboljšanje kibernetske varnosti in upravljanja tveganj za energetsko infrastrukturo. Štiri ključna področja so: upravljanje tveganj in groženj, kibernetska obramba, kibernetska odpornost in kompetence, ki so potrebne za izvedbo ukrepov. Pripravljavci poročila menijo, da bi Evropska komisija morala pripraviti analizo mogočih groženj in kako ukrepati za preprečitev napadov. </w:t>
      </w:r>
    </w:p>
    <w:p w:rsidR="001F4FB5" w:rsidRPr="00475091" w:rsidRDefault="001F4FB5" w:rsidP="00475091">
      <w:pPr>
        <w:rPr>
          <w:rFonts w:ascii="Arial" w:hAnsi="Arial" w:cs="Arial"/>
          <w:sz w:val="20"/>
          <w:szCs w:val="20"/>
        </w:rPr>
      </w:pPr>
      <w:r w:rsidRPr="00475091">
        <w:rPr>
          <w:rFonts w:ascii="Arial" w:hAnsi="Arial" w:cs="Arial"/>
          <w:sz w:val="20"/>
          <w:szCs w:val="20"/>
        </w:rPr>
        <w:t>Poleg tega bi Evropska komisija morala spodbujati regije k sodelovanju in izmenjavi podatkov o kibernetskih tveganjih v sektorju energetike. Evropska komisija bi morala pripraviti tudi okvir za ukrepanje v energetskem sektorju, pa zahtevati, da morajo biti države članice pripravljene na morebitne kibernetske napade na njihovo energetsko infrastrukturo. Izboljšati je treba tudi odpornost in varnost infrastrukture.</w:t>
      </w: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4C2697" w:rsidRDefault="004C2697" w:rsidP="00475091">
      <w:pPr>
        <w:rPr>
          <w:rFonts w:ascii="Arial" w:hAnsi="Arial" w:cs="Arial"/>
          <w:b/>
          <w:sz w:val="20"/>
          <w:szCs w:val="20"/>
        </w:rPr>
      </w:pPr>
    </w:p>
    <w:p w:rsidR="001F4FB5" w:rsidRPr="00475091" w:rsidRDefault="004E0D7E" w:rsidP="00475091">
      <w:pPr>
        <w:rPr>
          <w:rFonts w:ascii="Arial" w:hAnsi="Arial" w:cs="Arial"/>
          <w:b/>
          <w:sz w:val="20"/>
          <w:szCs w:val="20"/>
        </w:rPr>
      </w:pPr>
      <w:r w:rsidRPr="00475091">
        <w:rPr>
          <w:rFonts w:ascii="Arial" w:hAnsi="Arial" w:cs="Arial"/>
          <w:b/>
          <w:sz w:val="20"/>
          <w:szCs w:val="20"/>
        </w:rPr>
        <w:lastRenderedPageBreak/>
        <w:t>Tabela 1: Pregled prednostnih nalog za izboljšanje varnosti energetske infrastrukture pred kibernetskimi napadi</w:t>
      </w:r>
    </w:p>
    <w:p w:rsidR="004E0D7E" w:rsidRPr="00475091" w:rsidRDefault="004E0D7E" w:rsidP="00475091">
      <w:pPr>
        <w:rPr>
          <w:rFonts w:ascii="Arial" w:hAnsi="Arial" w:cs="Arial"/>
          <w:sz w:val="20"/>
          <w:szCs w:val="20"/>
        </w:rPr>
      </w:pPr>
      <w:r w:rsidRPr="00475091">
        <w:rPr>
          <w:rFonts w:ascii="Arial" w:hAnsi="Arial" w:cs="Arial"/>
          <w:sz w:val="20"/>
          <w:szCs w:val="20"/>
        </w:rPr>
        <w:drawing>
          <wp:inline distT="0" distB="0" distL="0" distR="0">
            <wp:extent cx="5760720" cy="564979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5649795"/>
                    </a:xfrm>
                    <a:prstGeom prst="rect">
                      <a:avLst/>
                    </a:prstGeom>
                    <a:noFill/>
                    <a:ln w="9525">
                      <a:noFill/>
                      <a:miter lim="800000"/>
                      <a:headEnd/>
                      <a:tailEnd/>
                    </a:ln>
                  </pic:spPr>
                </pic:pic>
              </a:graphicData>
            </a:graphic>
          </wp:inline>
        </w:drawing>
      </w:r>
    </w:p>
    <w:p w:rsidR="004E0D7E" w:rsidRPr="00475091" w:rsidRDefault="004E0D7E" w:rsidP="00475091">
      <w:pPr>
        <w:rPr>
          <w:rFonts w:ascii="Arial" w:hAnsi="Arial" w:cs="Arial"/>
          <w:sz w:val="20"/>
          <w:szCs w:val="20"/>
        </w:rPr>
      </w:pPr>
      <w:r w:rsidRPr="00475091">
        <w:rPr>
          <w:rFonts w:ascii="Arial" w:hAnsi="Arial" w:cs="Arial"/>
          <w:sz w:val="20"/>
          <w:szCs w:val="20"/>
        </w:rPr>
        <w:t>Vir: Poročilo</w:t>
      </w:r>
    </w:p>
    <w:p w:rsidR="004E0D7E" w:rsidRPr="00475091" w:rsidRDefault="004E0D7E" w:rsidP="00475091">
      <w:pPr>
        <w:rPr>
          <w:rFonts w:ascii="Arial" w:hAnsi="Arial" w:cs="Arial"/>
          <w:b/>
          <w:sz w:val="20"/>
          <w:szCs w:val="20"/>
        </w:rPr>
      </w:pPr>
      <w:r w:rsidRPr="00475091">
        <w:rPr>
          <w:rFonts w:ascii="Arial" w:hAnsi="Arial" w:cs="Arial"/>
          <w:b/>
          <w:sz w:val="20"/>
          <w:szCs w:val="20"/>
        </w:rPr>
        <w:t>Koristne informacije:</w:t>
      </w:r>
    </w:p>
    <w:p w:rsidR="004E0D7E" w:rsidRPr="00475091" w:rsidRDefault="004E0D7E" w:rsidP="00475091">
      <w:pPr>
        <w:pStyle w:val="Odstavekseznama"/>
        <w:numPr>
          <w:ilvl w:val="0"/>
          <w:numId w:val="1"/>
        </w:numPr>
        <w:rPr>
          <w:rFonts w:ascii="Arial" w:hAnsi="Arial" w:cs="Arial"/>
          <w:sz w:val="20"/>
          <w:szCs w:val="20"/>
        </w:rPr>
      </w:pPr>
      <w:r w:rsidRPr="00475091">
        <w:rPr>
          <w:rFonts w:ascii="Arial" w:hAnsi="Arial" w:cs="Arial"/>
          <w:sz w:val="20"/>
          <w:szCs w:val="20"/>
        </w:rPr>
        <w:t>Poročilo:</w:t>
      </w:r>
    </w:p>
    <w:p w:rsidR="004E0D7E" w:rsidRPr="00475091" w:rsidRDefault="004E0D7E" w:rsidP="00475091">
      <w:pPr>
        <w:pStyle w:val="Odstavekseznama"/>
        <w:numPr>
          <w:ilvl w:val="0"/>
          <w:numId w:val="1"/>
        </w:numPr>
        <w:rPr>
          <w:rFonts w:ascii="Arial" w:hAnsi="Arial" w:cs="Arial"/>
          <w:sz w:val="20"/>
          <w:szCs w:val="20"/>
        </w:rPr>
      </w:pPr>
      <w:hyperlink r:id="rId7" w:history="1">
        <w:r w:rsidRPr="00475091">
          <w:rPr>
            <w:rStyle w:val="Hiperpovezava"/>
            <w:rFonts w:ascii="Arial" w:hAnsi="Arial" w:cs="Arial"/>
            <w:sz w:val="20"/>
            <w:szCs w:val="20"/>
          </w:rPr>
          <w:t>https://ec.europa.eu/energy/sites/ener/files/documents/eecsp_report_final.pdf</w:t>
        </w:r>
      </w:hyperlink>
    </w:p>
    <w:p w:rsidR="004E0D7E" w:rsidRPr="00475091" w:rsidRDefault="004E0D7E" w:rsidP="00475091">
      <w:pPr>
        <w:pStyle w:val="Odstavekseznama"/>
        <w:numPr>
          <w:ilvl w:val="0"/>
          <w:numId w:val="1"/>
        </w:numPr>
        <w:rPr>
          <w:rFonts w:ascii="Arial" w:hAnsi="Arial" w:cs="Arial"/>
          <w:sz w:val="20"/>
          <w:szCs w:val="20"/>
        </w:rPr>
      </w:pPr>
      <w:r w:rsidRPr="00475091">
        <w:rPr>
          <w:rFonts w:ascii="Arial" w:hAnsi="Arial" w:cs="Arial"/>
          <w:sz w:val="20"/>
          <w:szCs w:val="20"/>
        </w:rPr>
        <w:t>Spletna stran z informacijami o kibernetski varnosti v EU:</w:t>
      </w:r>
    </w:p>
    <w:p w:rsidR="004E0D7E" w:rsidRPr="00475091" w:rsidRDefault="004E0D7E" w:rsidP="00475091">
      <w:pPr>
        <w:pStyle w:val="Odstavekseznama"/>
        <w:numPr>
          <w:ilvl w:val="0"/>
          <w:numId w:val="1"/>
        </w:numPr>
        <w:rPr>
          <w:rFonts w:ascii="Arial" w:hAnsi="Arial" w:cs="Arial"/>
          <w:sz w:val="20"/>
          <w:szCs w:val="20"/>
        </w:rPr>
      </w:pPr>
      <w:hyperlink r:id="rId8" w:history="1">
        <w:r w:rsidRPr="00475091">
          <w:rPr>
            <w:rStyle w:val="Hiperpovezava"/>
            <w:rFonts w:ascii="Arial" w:hAnsi="Arial" w:cs="Arial"/>
            <w:sz w:val="20"/>
            <w:szCs w:val="20"/>
          </w:rPr>
          <w:t>https://ec.europa.eu/digital-single-market/en/cybersecurity</w:t>
        </w:r>
      </w:hyperlink>
    </w:p>
    <w:p w:rsidR="004E0D7E" w:rsidRPr="00475091" w:rsidRDefault="004E0D7E" w:rsidP="00475091">
      <w:pPr>
        <w:rPr>
          <w:rFonts w:ascii="Arial" w:hAnsi="Arial" w:cs="Arial"/>
          <w:sz w:val="20"/>
          <w:szCs w:val="20"/>
        </w:rPr>
      </w:pPr>
      <w:r w:rsidRPr="00475091">
        <w:rPr>
          <w:rFonts w:ascii="Arial" w:hAnsi="Arial" w:cs="Arial"/>
          <w:sz w:val="20"/>
          <w:szCs w:val="20"/>
        </w:rPr>
        <w:t>Pripravila:</w:t>
      </w:r>
    </w:p>
    <w:p w:rsidR="004E0D7E" w:rsidRPr="00475091" w:rsidRDefault="004E0D7E" w:rsidP="00475091">
      <w:pPr>
        <w:rPr>
          <w:rFonts w:ascii="Arial" w:hAnsi="Arial" w:cs="Arial"/>
          <w:sz w:val="20"/>
          <w:szCs w:val="20"/>
        </w:rPr>
      </w:pPr>
      <w:r w:rsidRPr="00475091">
        <w:rPr>
          <w:rFonts w:ascii="Arial" w:hAnsi="Arial" w:cs="Arial"/>
          <w:sz w:val="20"/>
          <w:szCs w:val="20"/>
        </w:rPr>
        <w:t>Darja Kocbek</w:t>
      </w:r>
    </w:p>
    <w:p w:rsidR="001F4FB5" w:rsidRDefault="001F4FB5"/>
    <w:sectPr w:rsidR="001F4FB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73658"/>
    <w:multiLevelType w:val="hybridMultilevel"/>
    <w:tmpl w:val="2BF24A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4FB5"/>
    <w:rsid w:val="001F4FB5"/>
    <w:rsid w:val="00475091"/>
    <w:rsid w:val="004C2697"/>
    <w:rsid w:val="004E0D7E"/>
    <w:rsid w:val="008A1930"/>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4C26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E0D7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0D7E"/>
    <w:rPr>
      <w:rFonts w:ascii="Tahoma" w:hAnsi="Tahoma" w:cs="Tahoma"/>
      <w:sz w:val="16"/>
      <w:szCs w:val="16"/>
    </w:rPr>
  </w:style>
  <w:style w:type="character" w:styleId="Hiperpovezava">
    <w:name w:val="Hyperlink"/>
    <w:basedOn w:val="Privzetapisavaodstavka"/>
    <w:uiPriority w:val="99"/>
    <w:unhideWhenUsed/>
    <w:rsid w:val="004E0D7E"/>
    <w:rPr>
      <w:color w:val="0000FF" w:themeColor="hyperlink"/>
      <w:u w:val="single"/>
    </w:rPr>
  </w:style>
  <w:style w:type="paragraph" w:styleId="Odstavekseznama">
    <w:name w:val="List Paragraph"/>
    <w:basedOn w:val="Navaden"/>
    <w:uiPriority w:val="34"/>
    <w:qFormat/>
    <w:rsid w:val="00475091"/>
    <w:pPr>
      <w:ind w:left="720"/>
      <w:contextualSpacing/>
    </w:pPr>
  </w:style>
  <w:style w:type="character" w:customStyle="1" w:styleId="Naslov2Znak">
    <w:name w:val="Naslov 2 Znak"/>
    <w:basedOn w:val="Privzetapisavaodstavka"/>
    <w:link w:val="Naslov2"/>
    <w:uiPriority w:val="9"/>
    <w:semiHidden/>
    <w:rsid w:val="004C269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cybersecurity" TargetMode="External"/><Relationship Id="rId3" Type="http://schemas.openxmlformats.org/officeDocument/2006/relationships/settings" Target="settings.xml"/><Relationship Id="rId7" Type="http://schemas.openxmlformats.org/officeDocument/2006/relationships/hyperlink" Target="https://ec.europa.eu/energy/sites/ener/files/documents/eecsp_report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255</Words>
  <Characters>1457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2017-03-08T21:49:00Z</dcterms:created>
  <dcterms:modified xsi:type="dcterms:W3CDTF">2017-03-08T22:07:00Z</dcterms:modified>
</cp:coreProperties>
</file>