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2B" w:rsidRDefault="0044192B" w:rsidP="0044192B">
      <w:pPr>
        <w:jc w:val="both"/>
        <w:rPr>
          <w:rFonts w:ascii="Arial" w:hAnsi="Arial" w:cs="Arial"/>
          <w:b/>
          <w:i/>
        </w:rPr>
      </w:pPr>
    </w:p>
    <w:p w:rsidR="0044192B" w:rsidRPr="00467345" w:rsidRDefault="0044192B" w:rsidP="0044192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92B" w:rsidRPr="00301C78" w:rsidRDefault="0044192B" w:rsidP="0044192B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4192B" w:rsidRPr="00083714" w:rsidRDefault="0044192B" w:rsidP="0044192B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44192B" w:rsidRDefault="0044192B" w:rsidP="0044192B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40 </w:t>
      </w:r>
      <w:r w:rsidRPr="00083714">
        <w:rPr>
          <w:b/>
        </w:rPr>
        <w:t>– 20</w:t>
      </w:r>
      <w:r>
        <w:rPr>
          <w:b/>
        </w:rPr>
        <w:t>23</w:t>
      </w:r>
    </w:p>
    <w:p w:rsidR="0044192B" w:rsidRDefault="0044192B" w:rsidP="0044192B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06. marec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44192B" w:rsidRDefault="00D16FAF" w:rsidP="00D16FA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Revizorji opozarjajo, da je finančno okolje EU vse bolj kompleksno</w:t>
      </w:r>
    </w:p>
    <w:p w:rsidR="00136D6D" w:rsidRPr="0044192B" w:rsidRDefault="0060507F" w:rsidP="0044192B">
      <w:pPr>
        <w:jc w:val="both"/>
        <w:rPr>
          <w:rFonts w:ascii="Arial" w:hAnsi="Arial" w:cs="Arial"/>
          <w:b/>
          <w:i/>
        </w:rPr>
      </w:pPr>
      <w:r w:rsidRPr="0044192B">
        <w:rPr>
          <w:rFonts w:ascii="Arial" w:hAnsi="Arial" w:cs="Arial"/>
          <w:b/>
          <w:i/>
        </w:rPr>
        <w:t xml:space="preserve">Finančno okolje EU je vedno bolj kompleksno. Osrednji del je sicer proračun EU, vendar je vedno več tudi </w:t>
      </w:r>
      <w:proofErr w:type="spellStart"/>
      <w:r w:rsidRPr="0044192B">
        <w:rPr>
          <w:rFonts w:ascii="Arial" w:hAnsi="Arial" w:cs="Arial"/>
          <w:b/>
          <w:i/>
        </w:rPr>
        <w:t>zunajproračunskih</w:t>
      </w:r>
      <w:proofErr w:type="spellEnd"/>
      <w:r w:rsidRPr="0044192B">
        <w:rPr>
          <w:rFonts w:ascii="Arial" w:hAnsi="Arial" w:cs="Arial"/>
          <w:b/>
          <w:i/>
        </w:rPr>
        <w:t xml:space="preserve"> in hibridnih instrumentov,  v novem poročilu opozarjajo revizorji Evropskega računskega sodišča. Ti instrumenti so bili sicer ustvarjeni z razlogom, vendar je treba zaradi boljše učinkovitosti in transparentnosti poenostaviti in zagotoviti večjo odgovornost. V večini primerov so bile pravne, politične ali gospodarske okoliščine ob vzpostavitvi posameznega instrumenta vzrok, da so bili ločeni od proračuna EU.</w:t>
      </w:r>
    </w:p>
    <w:p w:rsidR="002A6B6E" w:rsidRPr="0044192B" w:rsidRDefault="002A6B6E" w:rsidP="0044192B">
      <w:pPr>
        <w:jc w:val="both"/>
        <w:rPr>
          <w:rFonts w:ascii="Arial" w:hAnsi="Arial" w:cs="Arial"/>
          <w:sz w:val="20"/>
          <w:szCs w:val="20"/>
        </w:rPr>
      </w:pPr>
      <w:r w:rsidRPr="0044192B">
        <w:rPr>
          <w:rFonts w:ascii="Arial" w:hAnsi="Arial" w:cs="Arial"/>
          <w:sz w:val="20"/>
          <w:szCs w:val="20"/>
        </w:rPr>
        <w:t xml:space="preserve">Instrumente za zagotavljanje finančne pomoči, ki temeljijo na najemanju in dajanju posojil, je bilo treba vzpostaviti zunaj proračuna EU, saj v njem ni mogoče pridobivati posojil. Ti instrumenti so bili večinoma namenjeni čim hitrejšemu odzivu na krize. </w:t>
      </w:r>
    </w:p>
    <w:p w:rsidR="002A6B6E" w:rsidRPr="0044192B" w:rsidRDefault="002A6B6E" w:rsidP="0044192B">
      <w:pPr>
        <w:jc w:val="both"/>
        <w:rPr>
          <w:rFonts w:ascii="Arial" w:hAnsi="Arial" w:cs="Arial"/>
          <w:sz w:val="20"/>
          <w:szCs w:val="20"/>
        </w:rPr>
      </w:pPr>
      <w:r w:rsidRPr="0044192B">
        <w:rPr>
          <w:rFonts w:ascii="Arial" w:hAnsi="Arial" w:cs="Arial"/>
          <w:sz w:val="20"/>
          <w:szCs w:val="20"/>
        </w:rPr>
        <w:t xml:space="preserve">Vzpostavitev teh instrumentov je bila sicer upravičena, vendar mnogi predhodno niso bili primerno ocenjeni. Revizorji so ugotovili, da zato tudi ni mogoče utemeljiti, da je bila vzpostavitev nekega </w:t>
      </w:r>
      <w:proofErr w:type="spellStart"/>
      <w:r w:rsidRPr="0044192B">
        <w:rPr>
          <w:rFonts w:ascii="Arial" w:hAnsi="Arial" w:cs="Arial"/>
          <w:sz w:val="20"/>
          <w:szCs w:val="20"/>
        </w:rPr>
        <w:t>zunajproračunskega</w:t>
      </w:r>
      <w:proofErr w:type="spellEnd"/>
      <w:r w:rsidRPr="0044192B">
        <w:rPr>
          <w:rFonts w:ascii="Arial" w:hAnsi="Arial" w:cs="Arial"/>
          <w:sz w:val="20"/>
          <w:szCs w:val="20"/>
        </w:rPr>
        <w:t xml:space="preserve"> instrumenta boljša od uporabe proračuna EU, in dokazati, da je bil predlagani instrument najučinkovitejša izbira.</w:t>
      </w:r>
    </w:p>
    <w:p w:rsidR="002A6B6E" w:rsidRPr="0044192B" w:rsidRDefault="002A6B6E" w:rsidP="0044192B">
      <w:pPr>
        <w:jc w:val="both"/>
        <w:rPr>
          <w:rFonts w:ascii="Arial" w:hAnsi="Arial" w:cs="Arial"/>
          <w:sz w:val="20"/>
          <w:szCs w:val="20"/>
        </w:rPr>
      </w:pPr>
      <w:r w:rsidRPr="0044192B">
        <w:rPr>
          <w:rFonts w:ascii="Arial" w:hAnsi="Arial" w:cs="Arial"/>
          <w:sz w:val="20"/>
          <w:szCs w:val="20"/>
        </w:rPr>
        <w:t>Revizorji Evropski komisiji priporočajo, naj predlaga vključitev sklada za modernizacijo v proračun EU, kot tudi integracijo in konsolidacijo obstoječih instrumentov finančne pomoči.</w:t>
      </w:r>
    </w:p>
    <w:p w:rsidR="002A6B6E" w:rsidRPr="0044192B" w:rsidRDefault="002A6B6E" w:rsidP="0044192B">
      <w:pPr>
        <w:jc w:val="both"/>
        <w:rPr>
          <w:rFonts w:ascii="Arial" w:hAnsi="Arial" w:cs="Arial"/>
          <w:b/>
          <w:sz w:val="20"/>
          <w:szCs w:val="20"/>
        </w:rPr>
      </w:pPr>
      <w:r w:rsidRPr="0044192B">
        <w:rPr>
          <w:rFonts w:ascii="Arial" w:hAnsi="Arial" w:cs="Arial"/>
          <w:b/>
          <w:sz w:val="20"/>
          <w:szCs w:val="20"/>
        </w:rPr>
        <w:t>Koristne informacije:</w:t>
      </w:r>
    </w:p>
    <w:p w:rsidR="002A6B6E" w:rsidRPr="0044192B" w:rsidRDefault="002A6B6E" w:rsidP="0044192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4192B">
        <w:rPr>
          <w:rFonts w:ascii="Arial" w:hAnsi="Arial" w:cs="Arial"/>
          <w:sz w:val="20"/>
          <w:szCs w:val="20"/>
        </w:rPr>
        <w:t>Poročilo:</w:t>
      </w:r>
    </w:p>
    <w:p w:rsidR="002A6B6E" w:rsidRPr="0044192B" w:rsidRDefault="002A6B6E" w:rsidP="0044192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4192B">
          <w:rPr>
            <w:rStyle w:val="Hiperpovezava"/>
            <w:rFonts w:ascii="Arial" w:hAnsi="Arial" w:cs="Arial"/>
            <w:sz w:val="20"/>
            <w:szCs w:val="20"/>
          </w:rPr>
          <w:t>https://www.eca.europa.eu/sl/Pages/DocItem.aspx?did=63502</w:t>
        </w:r>
      </w:hyperlink>
    </w:p>
    <w:p w:rsidR="002A6B6E" w:rsidRPr="0044192B" w:rsidRDefault="002A6B6E" w:rsidP="004419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44192B">
        <w:rPr>
          <w:rFonts w:ascii="Arial" w:hAnsi="Arial" w:cs="Arial"/>
          <w:sz w:val="20"/>
          <w:szCs w:val="20"/>
        </w:rPr>
        <w:t>Pripravila:</w:t>
      </w:r>
    </w:p>
    <w:p w:rsidR="002A6B6E" w:rsidRPr="0044192B" w:rsidRDefault="002A6B6E" w:rsidP="004419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44192B">
        <w:rPr>
          <w:rFonts w:ascii="Arial" w:hAnsi="Arial" w:cs="Arial"/>
          <w:sz w:val="20"/>
          <w:szCs w:val="20"/>
        </w:rPr>
        <w:t>Darja Kocbek</w:t>
      </w:r>
    </w:p>
    <w:sectPr w:rsidR="002A6B6E" w:rsidRPr="0044192B" w:rsidSect="00136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1968"/>
    <w:multiLevelType w:val="hybridMultilevel"/>
    <w:tmpl w:val="9F748E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7F"/>
    <w:rsid w:val="00136D6D"/>
    <w:rsid w:val="002A6B6E"/>
    <w:rsid w:val="0044192B"/>
    <w:rsid w:val="0060507F"/>
    <w:rsid w:val="00D1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6D6D"/>
  </w:style>
  <w:style w:type="paragraph" w:styleId="Naslov2">
    <w:name w:val="heading 2"/>
    <w:basedOn w:val="Navaden"/>
    <w:link w:val="Naslov2Znak"/>
    <w:uiPriority w:val="9"/>
    <w:qFormat/>
    <w:rsid w:val="00441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A6B6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4192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44192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1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a.europa.eu/sl/Pages/DocItem.aspx?did=6350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2023-03-01T17:40:00Z</dcterms:created>
  <dcterms:modified xsi:type="dcterms:W3CDTF">2023-03-01T17:53:00Z</dcterms:modified>
</cp:coreProperties>
</file>