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6FB" w:rsidRPr="00083714" w:rsidRDefault="00DB76FB" w:rsidP="00DB76FB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6FB" w:rsidRDefault="00DB76FB" w:rsidP="00DB76FB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DB76FB" w:rsidRPr="00083714" w:rsidRDefault="00DB76FB" w:rsidP="00DB76FB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DB76FB" w:rsidRPr="00083714" w:rsidRDefault="00DB76FB" w:rsidP="00DB76FB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DB76FB" w:rsidRDefault="00DB76FB" w:rsidP="00DB76FB">
      <w:pPr>
        <w:tabs>
          <w:tab w:val="left" w:pos="3120"/>
        </w:tabs>
        <w:rPr>
          <w:b/>
        </w:rPr>
      </w:pPr>
      <w:r w:rsidRPr="00083714">
        <w:rPr>
          <w:b/>
        </w:rPr>
        <w:tab/>
      </w:r>
    </w:p>
    <w:p w:rsidR="00DB76FB" w:rsidRDefault="00DB76FB" w:rsidP="00DB76FB">
      <w:pPr>
        <w:tabs>
          <w:tab w:val="left" w:pos="3120"/>
        </w:tabs>
        <w:jc w:val="center"/>
        <w:rPr>
          <w:b/>
        </w:rPr>
      </w:pPr>
      <w:r>
        <w:rPr>
          <w:b/>
        </w:rPr>
        <w:t>Občasna informacija članom 39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DB76FB" w:rsidRDefault="00DB76FB" w:rsidP="00DB76FB">
      <w:pPr>
        <w:tabs>
          <w:tab w:val="left" w:pos="3120"/>
        </w:tabs>
        <w:jc w:val="center"/>
        <w:rPr>
          <w:b/>
        </w:rPr>
      </w:pPr>
    </w:p>
    <w:p w:rsidR="00DB76FB" w:rsidRPr="00083714" w:rsidRDefault="00DB76FB" w:rsidP="00DB76FB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08. marec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747061" w:rsidRDefault="00747061" w:rsidP="00747061">
      <w:pPr>
        <w:spacing w:before="240"/>
        <w:jc w:val="center"/>
        <w:rPr>
          <w:b/>
          <w:color w:val="993300"/>
          <w:sz w:val="32"/>
          <w:szCs w:val="32"/>
        </w:rPr>
      </w:pPr>
      <w:r>
        <w:rPr>
          <w:b/>
          <w:color w:val="993300"/>
          <w:sz w:val="32"/>
          <w:szCs w:val="32"/>
        </w:rPr>
        <w:t>Odobrena je zakonodaja za črpanje sredstev iz strukturnih skladov v obdobju 2021-2027</w:t>
      </w:r>
    </w:p>
    <w:p w:rsidR="00747061" w:rsidRDefault="00747061" w:rsidP="00CF0AB6">
      <w:pPr>
        <w:spacing w:before="240"/>
        <w:jc w:val="both"/>
        <w:rPr>
          <w:rFonts w:ascii="Arial" w:hAnsi="Arial"/>
          <w:b/>
          <w:i/>
          <w:sz w:val="22"/>
          <w:szCs w:val="22"/>
        </w:rPr>
      </w:pPr>
    </w:p>
    <w:p w:rsidR="00201658" w:rsidRPr="00FB6E89" w:rsidRDefault="00F4641F" w:rsidP="00FB6E89">
      <w:pPr>
        <w:jc w:val="both"/>
        <w:rPr>
          <w:rFonts w:ascii="Arial" w:hAnsi="Arial"/>
          <w:b/>
          <w:i/>
          <w:sz w:val="22"/>
          <w:szCs w:val="22"/>
        </w:rPr>
      </w:pPr>
      <w:r w:rsidRPr="00FB6E89">
        <w:rPr>
          <w:rFonts w:ascii="Arial" w:hAnsi="Arial"/>
          <w:b/>
          <w:i/>
          <w:sz w:val="22"/>
          <w:szCs w:val="22"/>
        </w:rPr>
        <w:t>Države članice so v okviru Sveta EU odobrile pravna besedila o urejanju strukturnih  skladov, v katerih je v finančnem obdobju 2021-2027 na voljo 330 milijard evrov. Uredbe  bodo najverjetneje začele veljati junija</w:t>
      </w:r>
      <w:r w:rsidR="00201658" w:rsidRPr="00FB6E89">
        <w:rPr>
          <w:rFonts w:ascii="Arial" w:hAnsi="Arial"/>
          <w:b/>
          <w:i/>
          <w:sz w:val="22"/>
          <w:szCs w:val="22"/>
        </w:rPr>
        <w:t xml:space="preserve"> potem, ko ga bo potrdil še Evropski parlament</w:t>
      </w:r>
      <w:r w:rsidRPr="00FB6E89">
        <w:rPr>
          <w:rFonts w:ascii="Arial" w:hAnsi="Arial"/>
          <w:b/>
          <w:i/>
          <w:sz w:val="22"/>
          <w:szCs w:val="22"/>
        </w:rPr>
        <w:t>.</w:t>
      </w:r>
      <w:r w:rsidR="00201658" w:rsidRPr="00FB6E89">
        <w:rPr>
          <w:rFonts w:ascii="Arial" w:hAnsi="Arial"/>
          <w:b/>
          <w:i/>
          <w:sz w:val="22"/>
          <w:szCs w:val="22"/>
        </w:rPr>
        <w:t xml:space="preserve">  Sveženj za politike vključuje pet novih ciljev, ki so: konkurenčnejša in pametnejša Evropa, bolj zelena Evropa, bolj povezana Evropa, bolj socialna in vključujoča Evropa ter Evropa, ki je bližja svojim državljanom. Člani lahko dobijo več informacij na SBRA.</w:t>
      </w:r>
    </w:p>
    <w:p w:rsidR="00FB6E89" w:rsidRPr="00FB6E89" w:rsidRDefault="00FB6E89" w:rsidP="00FB6E89">
      <w:pPr>
        <w:jc w:val="both"/>
        <w:rPr>
          <w:rFonts w:ascii="Arial" w:hAnsi="Arial"/>
          <w:sz w:val="20"/>
          <w:szCs w:val="20"/>
        </w:rPr>
      </w:pPr>
    </w:p>
    <w:p w:rsidR="00201658" w:rsidRPr="00FB6E89" w:rsidRDefault="00201658" w:rsidP="00FB6E89">
      <w:pPr>
        <w:jc w:val="both"/>
        <w:rPr>
          <w:rFonts w:ascii="Arial" w:hAnsi="Arial"/>
          <w:sz w:val="20"/>
          <w:szCs w:val="20"/>
        </w:rPr>
      </w:pPr>
      <w:r w:rsidRPr="00FB6E89">
        <w:rPr>
          <w:rFonts w:ascii="Arial" w:hAnsi="Arial"/>
          <w:sz w:val="20"/>
          <w:szCs w:val="20"/>
        </w:rPr>
        <w:t>Projekti, za katere je mogoče porabiti sredstva iz skladov, segajo od prometne infrastrukture, bolnišnic in zdravstvenega varstva, čiste energije, gospodarjenja z vodo, trajnostnega razvoja mest, raziskav, inovacij in digitalizacije pa vse do programov zaposlovanja, socialne vključenosti, izobraževanja in usposabljanja.</w:t>
      </w:r>
    </w:p>
    <w:p w:rsidR="00CF0AB6" w:rsidRDefault="00CF0AB6" w:rsidP="00FB6E89">
      <w:pPr>
        <w:jc w:val="both"/>
        <w:rPr>
          <w:rFonts w:ascii="Arial" w:hAnsi="Arial"/>
          <w:sz w:val="20"/>
          <w:szCs w:val="20"/>
        </w:rPr>
      </w:pPr>
    </w:p>
    <w:p w:rsidR="00F4641F" w:rsidRPr="00FB6E89" w:rsidRDefault="00201658" w:rsidP="00FB6E89">
      <w:pPr>
        <w:jc w:val="both"/>
        <w:rPr>
          <w:rFonts w:ascii="Arial" w:hAnsi="Arial"/>
          <w:sz w:val="20"/>
          <w:szCs w:val="20"/>
        </w:rPr>
      </w:pPr>
      <w:r w:rsidRPr="00FB6E89">
        <w:rPr>
          <w:rFonts w:ascii="Arial" w:hAnsi="Arial"/>
          <w:sz w:val="20"/>
          <w:szCs w:val="20"/>
        </w:rPr>
        <w:t>Poraba denarja bo vezana na evropski semester, to je okvir za usklajevanje ekonomskih politik, na podlagi katerega Evropska komisija oblikuje priporočila za strukturne reforme na nacionalni ravni.</w:t>
      </w:r>
    </w:p>
    <w:p w:rsidR="00F4641F" w:rsidRPr="00FB6E89" w:rsidRDefault="00F4641F" w:rsidP="00FB6E89">
      <w:pPr>
        <w:jc w:val="both"/>
        <w:rPr>
          <w:rFonts w:ascii="Arial" w:hAnsi="Arial"/>
          <w:sz w:val="20"/>
          <w:szCs w:val="20"/>
        </w:rPr>
      </w:pPr>
    </w:p>
    <w:p w:rsidR="00F4641F" w:rsidRPr="00CF0AB6" w:rsidRDefault="00201658" w:rsidP="00FB6E89">
      <w:pPr>
        <w:jc w:val="both"/>
        <w:rPr>
          <w:rFonts w:ascii="Arial" w:hAnsi="Arial"/>
          <w:b/>
          <w:sz w:val="20"/>
          <w:szCs w:val="20"/>
        </w:rPr>
      </w:pPr>
      <w:r w:rsidRPr="00CF0AB6">
        <w:rPr>
          <w:rFonts w:ascii="Arial" w:hAnsi="Arial"/>
          <w:b/>
          <w:sz w:val="20"/>
          <w:szCs w:val="20"/>
        </w:rPr>
        <w:t>Koristne informacije:</w:t>
      </w:r>
    </w:p>
    <w:p w:rsidR="00201658" w:rsidRPr="00FB6E89" w:rsidRDefault="00201658" w:rsidP="00FB6E89">
      <w:pPr>
        <w:jc w:val="both"/>
        <w:rPr>
          <w:rFonts w:ascii="Arial" w:hAnsi="Arial"/>
          <w:sz w:val="20"/>
          <w:szCs w:val="20"/>
        </w:rPr>
      </w:pPr>
    </w:p>
    <w:p w:rsidR="00027B2F" w:rsidRPr="00CF0AB6" w:rsidRDefault="00201658" w:rsidP="00CF0AB6">
      <w:pPr>
        <w:pStyle w:val="Odstavekseznama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CF0AB6">
        <w:rPr>
          <w:rFonts w:ascii="Arial" w:hAnsi="Arial"/>
          <w:sz w:val="20"/>
          <w:szCs w:val="20"/>
        </w:rPr>
        <w:t>Uredba o skupnih določbah, v kateri so navedena pravila za vse zadevne sklade:</w:t>
      </w:r>
    </w:p>
    <w:p w:rsidR="00201658" w:rsidRPr="00CF0AB6" w:rsidRDefault="00201658" w:rsidP="00CF0AB6">
      <w:pPr>
        <w:pStyle w:val="Odstavekseznama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hyperlink r:id="rId6" w:history="1">
        <w:r w:rsidRPr="00CF0AB6">
          <w:rPr>
            <w:rStyle w:val="Hiperpovezava"/>
            <w:rFonts w:ascii="Arial" w:hAnsi="Arial" w:cs="Arial"/>
            <w:sz w:val="20"/>
            <w:szCs w:val="20"/>
          </w:rPr>
          <w:t>https://data.consilium.europa.eu/doc/document/ST-6180-2021-INIT/en/pdf</w:t>
        </w:r>
      </w:hyperlink>
    </w:p>
    <w:p w:rsidR="00201658" w:rsidRPr="00FB6E89" w:rsidRDefault="00201658" w:rsidP="00FB6E89">
      <w:pPr>
        <w:jc w:val="both"/>
        <w:rPr>
          <w:rFonts w:ascii="Arial" w:hAnsi="Arial"/>
          <w:sz w:val="20"/>
          <w:szCs w:val="20"/>
        </w:rPr>
      </w:pPr>
    </w:p>
    <w:p w:rsidR="00201658" w:rsidRPr="00CF0AB6" w:rsidRDefault="00201658" w:rsidP="00CF0AB6">
      <w:pPr>
        <w:pStyle w:val="Odstavekseznama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CF0AB6">
        <w:rPr>
          <w:rFonts w:ascii="Arial" w:hAnsi="Arial"/>
          <w:sz w:val="20"/>
          <w:szCs w:val="20"/>
        </w:rPr>
        <w:t>Podnebni in okoljski koeficienti:</w:t>
      </w:r>
    </w:p>
    <w:p w:rsidR="00201658" w:rsidRPr="00CF0AB6" w:rsidRDefault="00201658" w:rsidP="00CF0AB6">
      <w:pPr>
        <w:pStyle w:val="Odstavekseznama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hyperlink r:id="rId7" w:history="1">
        <w:r w:rsidRPr="00CF0AB6">
          <w:rPr>
            <w:rStyle w:val="Hiperpovezava"/>
            <w:rFonts w:ascii="Arial" w:hAnsi="Arial" w:cs="Arial"/>
            <w:sz w:val="20"/>
            <w:szCs w:val="20"/>
          </w:rPr>
          <w:t>https://data.consilium.europa.eu/doc/document/ST-6180-2021-ADD-1/en/pdf</w:t>
        </w:r>
      </w:hyperlink>
    </w:p>
    <w:p w:rsidR="00201658" w:rsidRPr="00FB6E89" w:rsidRDefault="00201658" w:rsidP="00FB6E89">
      <w:pPr>
        <w:jc w:val="both"/>
        <w:rPr>
          <w:rFonts w:ascii="Arial" w:hAnsi="Arial"/>
          <w:sz w:val="20"/>
          <w:szCs w:val="20"/>
        </w:rPr>
      </w:pPr>
    </w:p>
    <w:p w:rsidR="00201658" w:rsidRPr="00CF0AB6" w:rsidRDefault="00201658" w:rsidP="00CF0AB6">
      <w:pPr>
        <w:pStyle w:val="Odstavekseznama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CF0AB6">
        <w:rPr>
          <w:rFonts w:ascii="Arial" w:hAnsi="Arial"/>
          <w:sz w:val="20"/>
          <w:szCs w:val="20"/>
        </w:rPr>
        <w:t>Uredba o Evropskem skladu za regionalni razvoj in Kohezijskem skladu:</w:t>
      </w:r>
    </w:p>
    <w:p w:rsidR="00201658" w:rsidRPr="00CF0AB6" w:rsidRDefault="00201658" w:rsidP="00CF0AB6">
      <w:pPr>
        <w:pStyle w:val="Odstavekseznama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hyperlink r:id="rId8" w:history="1">
        <w:r w:rsidRPr="00CF0AB6">
          <w:rPr>
            <w:rStyle w:val="Hiperpovezava"/>
            <w:rFonts w:ascii="Arial" w:hAnsi="Arial" w:cs="Arial"/>
            <w:sz w:val="20"/>
            <w:szCs w:val="20"/>
          </w:rPr>
          <w:t>https://data.consilium.europa.eu/doc/document/ST-6181-2021-INIT/en/pdf</w:t>
        </w:r>
      </w:hyperlink>
    </w:p>
    <w:p w:rsidR="00201658" w:rsidRPr="00FB6E89" w:rsidRDefault="00201658" w:rsidP="00FB6E89">
      <w:pPr>
        <w:jc w:val="both"/>
        <w:rPr>
          <w:rFonts w:ascii="Arial" w:hAnsi="Arial"/>
          <w:sz w:val="20"/>
          <w:szCs w:val="20"/>
        </w:rPr>
      </w:pPr>
    </w:p>
    <w:p w:rsidR="00201658" w:rsidRPr="00CF0AB6" w:rsidRDefault="00201658" w:rsidP="00CF0AB6">
      <w:pPr>
        <w:pStyle w:val="Odstavekseznama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CF0AB6">
        <w:rPr>
          <w:rFonts w:ascii="Arial" w:hAnsi="Arial"/>
          <w:sz w:val="20"/>
          <w:szCs w:val="20"/>
        </w:rPr>
        <w:t>Uredba o Evropskem socialnem skladu plus:</w:t>
      </w:r>
    </w:p>
    <w:p w:rsidR="00201658" w:rsidRPr="00CF0AB6" w:rsidRDefault="00201658" w:rsidP="00CF0AB6">
      <w:pPr>
        <w:pStyle w:val="Odstavekseznama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hyperlink r:id="rId9" w:history="1">
        <w:r w:rsidRPr="00CF0AB6">
          <w:rPr>
            <w:rStyle w:val="Hiperpovezava"/>
            <w:rFonts w:ascii="Arial" w:hAnsi="Arial" w:cs="Arial"/>
            <w:sz w:val="20"/>
            <w:szCs w:val="20"/>
          </w:rPr>
          <w:t>https://data.consilium.europa.eu/doc/document/ST-6182-2021-INIT/en/pdf</w:t>
        </w:r>
      </w:hyperlink>
    </w:p>
    <w:p w:rsidR="00201658" w:rsidRPr="00FB6E89" w:rsidRDefault="00201658" w:rsidP="00FB6E89">
      <w:pPr>
        <w:jc w:val="both"/>
        <w:rPr>
          <w:rFonts w:ascii="Arial" w:hAnsi="Arial"/>
          <w:sz w:val="20"/>
          <w:szCs w:val="20"/>
        </w:rPr>
      </w:pPr>
    </w:p>
    <w:p w:rsidR="00201658" w:rsidRPr="00CF0AB6" w:rsidRDefault="00201658" w:rsidP="00CF0AB6">
      <w:pPr>
        <w:pStyle w:val="Odstavekseznama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CF0AB6">
        <w:rPr>
          <w:rFonts w:ascii="Arial" w:hAnsi="Arial"/>
          <w:sz w:val="20"/>
          <w:szCs w:val="20"/>
        </w:rPr>
        <w:t>Uredba o skladu za pravični prehod:</w:t>
      </w:r>
    </w:p>
    <w:p w:rsidR="00201658" w:rsidRPr="00CF0AB6" w:rsidRDefault="00201658" w:rsidP="00CF0AB6">
      <w:pPr>
        <w:pStyle w:val="Odstavekseznama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hyperlink r:id="rId10" w:history="1">
        <w:r w:rsidRPr="00CF0AB6">
          <w:rPr>
            <w:rStyle w:val="Hiperpovezava"/>
            <w:rFonts w:ascii="Arial" w:hAnsi="Arial" w:cs="Arial"/>
            <w:sz w:val="20"/>
            <w:szCs w:val="20"/>
          </w:rPr>
          <w:t>https://data.consilium.europa.eu/doc/document/ST-6183-2021-INIT/en/pdf</w:t>
        </w:r>
      </w:hyperlink>
    </w:p>
    <w:p w:rsidR="00CF0AB6" w:rsidRDefault="00CF0AB6" w:rsidP="00FB6E89">
      <w:pPr>
        <w:jc w:val="both"/>
        <w:rPr>
          <w:rFonts w:ascii="Arial" w:hAnsi="Arial"/>
          <w:sz w:val="20"/>
          <w:szCs w:val="20"/>
        </w:rPr>
      </w:pPr>
    </w:p>
    <w:p w:rsidR="00201658" w:rsidRPr="00FB6E89" w:rsidRDefault="00201658" w:rsidP="00FB6E89">
      <w:pPr>
        <w:jc w:val="both"/>
        <w:rPr>
          <w:rFonts w:ascii="Arial" w:hAnsi="Arial"/>
          <w:sz w:val="20"/>
          <w:szCs w:val="20"/>
        </w:rPr>
      </w:pPr>
      <w:r w:rsidRPr="00FB6E89">
        <w:rPr>
          <w:rFonts w:ascii="Arial" w:hAnsi="Arial"/>
          <w:sz w:val="20"/>
          <w:szCs w:val="20"/>
        </w:rPr>
        <w:t>Pripravila:</w:t>
      </w:r>
    </w:p>
    <w:p w:rsidR="00201658" w:rsidRPr="00FB6E89" w:rsidRDefault="00201658" w:rsidP="00FB6E89">
      <w:pPr>
        <w:jc w:val="both"/>
        <w:rPr>
          <w:rFonts w:ascii="Arial" w:hAnsi="Arial"/>
          <w:sz w:val="20"/>
          <w:szCs w:val="20"/>
        </w:rPr>
      </w:pPr>
      <w:r w:rsidRPr="00FB6E89">
        <w:rPr>
          <w:rFonts w:ascii="Arial" w:hAnsi="Arial"/>
          <w:sz w:val="20"/>
          <w:szCs w:val="20"/>
        </w:rPr>
        <w:t>Darja Kocbek</w:t>
      </w:r>
    </w:p>
    <w:sectPr w:rsidR="00201658" w:rsidRPr="00FB6E89" w:rsidSect="00A3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25C8"/>
    <w:multiLevelType w:val="multilevel"/>
    <w:tmpl w:val="235C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E24A72"/>
    <w:multiLevelType w:val="hybridMultilevel"/>
    <w:tmpl w:val="54F478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7B2F"/>
    <w:rsid w:val="00027B2F"/>
    <w:rsid w:val="00201658"/>
    <w:rsid w:val="00747061"/>
    <w:rsid w:val="0076463C"/>
    <w:rsid w:val="00A30E06"/>
    <w:rsid w:val="00CF0AB6"/>
    <w:rsid w:val="00DB76FB"/>
    <w:rsid w:val="00F4641F"/>
    <w:rsid w:val="00FB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4641F"/>
    <w:pPr>
      <w:spacing w:after="0" w:line="240" w:lineRule="auto"/>
    </w:pPr>
    <w:rPr>
      <w:rFonts w:ascii="Times New Roman" w:eastAsia="NSimSun" w:hAnsi="Times New Roman" w:cs="Arial"/>
      <w:kern w:val="2"/>
      <w:sz w:val="24"/>
      <w:szCs w:val="24"/>
      <w:lang w:eastAsia="zh-CN" w:bidi="hi-IN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B76F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4641F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201658"/>
    <w:pPr>
      <w:spacing w:before="100" w:beforeAutospacing="1" w:after="100" w:afterAutospacing="1"/>
    </w:pPr>
    <w:rPr>
      <w:rFonts w:eastAsia="Times New Roman" w:cs="Times New Roman"/>
      <w:kern w:val="0"/>
      <w:lang w:eastAsia="sl-SI" w:bidi="ar-SA"/>
    </w:rPr>
  </w:style>
  <w:style w:type="paragraph" w:styleId="Odstavekseznama">
    <w:name w:val="List Paragraph"/>
    <w:basedOn w:val="Navaden"/>
    <w:uiPriority w:val="34"/>
    <w:qFormat/>
    <w:rsid w:val="00CF0AB6"/>
    <w:pPr>
      <w:ind w:left="720"/>
      <w:contextualSpacing/>
    </w:pPr>
    <w:rPr>
      <w:rFonts w:cs="Mangal"/>
      <w:szCs w:val="21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B76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76FB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76FB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consilium.europa.eu/doc/document/ST-6181-2021-INIT/en/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ta.consilium.europa.eu/doc/document/ST-6180-2021-ADD-1/en/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consilium.europa.eu/doc/document/ST-6180-2021-INIT/en/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data.consilium.europa.eu/doc/document/ST-6183-2021-INIT/en/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ta.consilium.europa.eu/doc/document/ST-6182-2021-INIT/en/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2021-03-04T15:15:00Z</dcterms:created>
  <dcterms:modified xsi:type="dcterms:W3CDTF">2021-03-04T15:47:00Z</dcterms:modified>
</cp:coreProperties>
</file>