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579" w:rsidRPr="00083714" w:rsidRDefault="00027579" w:rsidP="00027579">
      <w:pPr>
        <w:tabs>
          <w:tab w:val="left" w:pos="2520"/>
          <w:tab w:val="left" w:pos="2700"/>
          <w:tab w:val="left" w:pos="3120"/>
        </w:tabs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579" w:rsidRPr="00083714" w:rsidRDefault="00027579" w:rsidP="00027579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027579" w:rsidRPr="00083714" w:rsidRDefault="00027579" w:rsidP="00027579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027579" w:rsidRPr="00083714" w:rsidRDefault="00027579" w:rsidP="00027579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027579" w:rsidRDefault="00027579" w:rsidP="00027579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36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027579" w:rsidRPr="00083714" w:rsidRDefault="00027579" w:rsidP="00027579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09. marec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027579" w:rsidRDefault="00027579" w:rsidP="003C6C49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Revizorji bi </w:t>
      </w:r>
      <w:r w:rsidR="003C6C49">
        <w:rPr>
          <w:b/>
          <w:color w:val="993300"/>
          <w:sz w:val="32"/>
          <w:szCs w:val="32"/>
        </w:rPr>
        <w:t>mestom</w:t>
      </w:r>
      <w:r>
        <w:rPr>
          <w:b/>
          <w:color w:val="993300"/>
          <w:sz w:val="32"/>
          <w:szCs w:val="32"/>
        </w:rPr>
        <w:t xml:space="preserve">,  </w:t>
      </w:r>
      <w:r w:rsidR="003C6C49">
        <w:rPr>
          <w:b/>
          <w:color w:val="993300"/>
          <w:sz w:val="32"/>
          <w:szCs w:val="32"/>
        </w:rPr>
        <w:t xml:space="preserve">ki nimajo trdnega načrta </w:t>
      </w:r>
      <w:r w:rsidR="00A84C62">
        <w:rPr>
          <w:b/>
          <w:color w:val="993300"/>
          <w:sz w:val="32"/>
          <w:szCs w:val="32"/>
        </w:rPr>
        <w:t>za trajnostno mobilnost, odvzeli</w:t>
      </w:r>
      <w:r w:rsidR="003C6C49">
        <w:rPr>
          <w:b/>
          <w:color w:val="993300"/>
          <w:sz w:val="32"/>
          <w:szCs w:val="32"/>
        </w:rPr>
        <w:t xml:space="preserve"> evropska sredstva</w:t>
      </w:r>
    </w:p>
    <w:p w:rsidR="00156CDF" w:rsidRPr="009B5E45" w:rsidRDefault="00754C4C" w:rsidP="009B5E45">
      <w:pPr>
        <w:jc w:val="both"/>
        <w:rPr>
          <w:rFonts w:ascii="Arial" w:hAnsi="Arial" w:cs="Arial"/>
          <w:b/>
          <w:i/>
        </w:rPr>
      </w:pPr>
      <w:r w:rsidRPr="009B5E45">
        <w:rPr>
          <w:rFonts w:ascii="Arial" w:hAnsi="Arial" w:cs="Arial"/>
          <w:b/>
          <w:i/>
        </w:rPr>
        <w:t>EU</w:t>
      </w:r>
      <w:r w:rsidR="00465DCF" w:rsidRPr="009B5E45">
        <w:rPr>
          <w:rFonts w:ascii="Arial" w:hAnsi="Arial" w:cs="Arial"/>
          <w:b/>
          <w:i/>
        </w:rPr>
        <w:t xml:space="preserve"> je v obdobju 2014–2020 namenila približno 16,5 milijarde evrov za mobilnost v mestih, predvsem za čist promet (podzemno železnico in tramvaj), pa tudi za kolesarske steze in inteligentne prometne sisteme. Kljub temu bistvenih sprememb prometa v mestih ni videti. Uporaba osebnih avtomobilov se ni bistveno zmanjšala, onesnaženost zraka v mnogih mestih še vedno presega varne ravni, v poročilu navajajo revizorji Evropskega računskega sodišča. Da bi se to spremenilo, </w:t>
      </w:r>
      <w:r w:rsidRPr="009B5E45">
        <w:rPr>
          <w:rFonts w:ascii="Arial" w:hAnsi="Arial" w:cs="Arial"/>
          <w:b/>
          <w:i/>
        </w:rPr>
        <w:t>med</w:t>
      </w:r>
      <w:r w:rsidR="00465DCF" w:rsidRPr="009B5E45">
        <w:rPr>
          <w:rFonts w:ascii="Arial" w:hAnsi="Arial" w:cs="Arial"/>
          <w:b/>
          <w:i/>
        </w:rPr>
        <w:t xml:space="preserve"> drugim predlagajo, da mesta</w:t>
      </w:r>
      <w:r w:rsidRPr="009B5E45">
        <w:rPr>
          <w:rFonts w:ascii="Arial" w:hAnsi="Arial" w:cs="Arial"/>
          <w:b/>
          <w:i/>
        </w:rPr>
        <w:t>,</w:t>
      </w:r>
      <w:r w:rsidR="00465DCF" w:rsidRPr="009B5E45">
        <w:rPr>
          <w:rFonts w:ascii="Arial" w:hAnsi="Arial" w:cs="Arial"/>
          <w:b/>
          <w:i/>
        </w:rPr>
        <w:t xml:space="preserve"> ki nimajo trdnega načrta za trajnostno mobilnost v mestih, ne</w:t>
      </w:r>
      <w:r w:rsidRPr="009B5E45">
        <w:rPr>
          <w:rFonts w:ascii="Arial" w:hAnsi="Arial" w:cs="Arial"/>
          <w:b/>
          <w:i/>
        </w:rPr>
        <w:t xml:space="preserve"> bi več </w:t>
      </w:r>
      <w:r w:rsidR="00465DCF" w:rsidRPr="009B5E45">
        <w:rPr>
          <w:rFonts w:ascii="Arial" w:hAnsi="Arial" w:cs="Arial"/>
          <w:b/>
          <w:i/>
        </w:rPr>
        <w:t xml:space="preserve"> prejema</w:t>
      </w:r>
      <w:r w:rsidRPr="009B5E45">
        <w:rPr>
          <w:rFonts w:ascii="Arial" w:hAnsi="Arial" w:cs="Arial"/>
          <w:b/>
          <w:i/>
        </w:rPr>
        <w:t>la</w:t>
      </w:r>
      <w:r w:rsidR="00465DCF" w:rsidRPr="009B5E45">
        <w:rPr>
          <w:rFonts w:ascii="Arial" w:hAnsi="Arial" w:cs="Arial"/>
          <w:b/>
          <w:i/>
        </w:rPr>
        <w:t xml:space="preserve"> sredstev EU</w:t>
      </w:r>
      <w:r w:rsidRPr="009B5E45">
        <w:rPr>
          <w:rFonts w:ascii="Arial" w:hAnsi="Arial" w:cs="Arial"/>
          <w:b/>
          <w:i/>
        </w:rPr>
        <w:t>.</w:t>
      </w:r>
    </w:p>
    <w:p w:rsidR="00465DCF" w:rsidRPr="00754C4C" w:rsidRDefault="00465DCF" w:rsidP="009B5E45">
      <w:pPr>
        <w:jc w:val="both"/>
        <w:rPr>
          <w:rFonts w:ascii="Arial" w:hAnsi="Arial" w:cs="Arial"/>
          <w:sz w:val="20"/>
          <w:szCs w:val="20"/>
        </w:rPr>
      </w:pPr>
      <w:r w:rsidRPr="00754C4C">
        <w:rPr>
          <w:rFonts w:ascii="Arial" w:hAnsi="Arial" w:cs="Arial"/>
          <w:sz w:val="20"/>
          <w:szCs w:val="20"/>
        </w:rPr>
        <w:t>Preučili so, ali je podpora EU pripomogla k bolj trajnostni mobilnosti na mestnih območjih in ali so mesta po tem, ko je Evropska komisija leta 2013 sprejela sveženj o mobilnosti v mestih, dosegla napredek. Preučili so javni prevoz, onesnaženost in zastoje v osmih metropolitanskih središčih v štirih državah članicah: Hamburgu in Leipzigu v Nemčiji, Neaplju in Palermu v Italiji, Lodžu in Varšavi na Poljskem ter Barceloni in Madridu v Španiji.</w:t>
      </w:r>
      <w:r w:rsidR="00D51CB7">
        <w:rPr>
          <w:rFonts w:ascii="Arial" w:hAnsi="Arial" w:cs="Arial"/>
          <w:sz w:val="20"/>
          <w:szCs w:val="20"/>
        </w:rPr>
        <w:t xml:space="preserve"> </w:t>
      </w:r>
      <w:r w:rsidRPr="00754C4C">
        <w:rPr>
          <w:rFonts w:ascii="Arial" w:hAnsi="Arial" w:cs="Arial"/>
          <w:sz w:val="20"/>
          <w:szCs w:val="20"/>
        </w:rPr>
        <w:t>Po mnenju revizorjev je učinkovito omrežje javnega prevoza, ki je povezano z okoliškimi območji in obsega različne možnosti prevoza, bistveno za spodbujanje državljanov k prehodu z osebnih avtomobilov na čistejše načine premikanja, kot so hoja, kolesarjenje in javni prevoz.</w:t>
      </w:r>
    </w:p>
    <w:p w:rsidR="00465DCF" w:rsidRDefault="00465DCF" w:rsidP="009B5E45">
      <w:pPr>
        <w:jc w:val="both"/>
        <w:rPr>
          <w:rFonts w:ascii="Arial" w:hAnsi="Arial" w:cs="Arial"/>
          <w:sz w:val="20"/>
          <w:szCs w:val="20"/>
        </w:rPr>
      </w:pPr>
      <w:r w:rsidRPr="00754C4C">
        <w:rPr>
          <w:rFonts w:ascii="Arial" w:hAnsi="Arial" w:cs="Arial"/>
          <w:sz w:val="20"/>
          <w:szCs w:val="20"/>
        </w:rPr>
        <w:t>Leta 2019 je Evropska komisija v okviru procesa evropskega semestra državam članicam začela dajati specifična priporočila glede mobilnosti v mestih. Revizorji poudarjajo, da je treba spremljati izvajanje teh priporočil</w:t>
      </w:r>
      <w:r w:rsidR="00754C4C">
        <w:rPr>
          <w:rFonts w:ascii="Arial" w:hAnsi="Arial" w:cs="Arial"/>
          <w:sz w:val="20"/>
          <w:szCs w:val="20"/>
        </w:rPr>
        <w:t xml:space="preserve"> </w:t>
      </w:r>
      <w:r w:rsidRPr="00754C4C">
        <w:rPr>
          <w:rFonts w:ascii="Arial" w:hAnsi="Arial" w:cs="Arial"/>
          <w:sz w:val="20"/>
          <w:szCs w:val="20"/>
        </w:rPr>
        <w:t xml:space="preserve">s ciljem preverjanja uporabe sredstev EU in nacionalnih sredstev. Prav tako pozivajo Komisijo, naj od držav članic zahteva zagotovitev boljših podatkov o mobilnosti v njihovih najpomembnejših mestih in redno poročanje o napredku. Poleg tega naj mesta, ki nimajo trdnega načrta za trajnostno mobilnost v mestih, ne prejemajo več sredstev EU. </w:t>
      </w:r>
    </w:p>
    <w:p w:rsidR="00754C4C" w:rsidRPr="009B5E45" w:rsidRDefault="00754C4C" w:rsidP="009B5E45">
      <w:pPr>
        <w:jc w:val="both"/>
        <w:rPr>
          <w:rFonts w:ascii="Arial" w:hAnsi="Arial" w:cs="Arial"/>
          <w:b/>
          <w:sz w:val="20"/>
          <w:szCs w:val="20"/>
        </w:rPr>
      </w:pPr>
      <w:r w:rsidRPr="009B5E45">
        <w:rPr>
          <w:rFonts w:ascii="Arial" w:hAnsi="Arial" w:cs="Arial"/>
          <w:b/>
          <w:sz w:val="20"/>
          <w:szCs w:val="20"/>
        </w:rPr>
        <w:t>Koristne informacije:</w:t>
      </w:r>
    </w:p>
    <w:p w:rsidR="00754C4C" w:rsidRPr="009B5E45" w:rsidRDefault="00754C4C" w:rsidP="009B5E4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B5E45">
        <w:rPr>
          <w:rFonts w:ascii="Arial" w:hAnsi="Arial" w:cs="Arial"/>
          <w:sz w:val="20"/>
          <w:szCs w:val="20"/>
        </w:rPr>
        <w:t>Poročilo:</w:t>
      </w:r>
    </w:p>
    <w:p w:rsidR="00754C4C" w:rsidRPr="009B5E45" w:rsidRDefault="00754C4C" w:rsidP="009B5E4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9B5E45">
          <w:rPr>
            <w:rStyle w:val="Hiperpovezava"/>
            <w:rFonts w:ascii="Arial" w:hAnsi="Arial" w:cs="Arial"/>
            <w:sz w:val="20"/>
            <w:szCs w:val="20"/>
          </w:rPr>
          <w:t>https://www.eca.europa.eu/lists/ecadocuments/sr20_06/sr_sustainable_urban_mobility_sl.pdf</w:t>
        </w:r>
      </w:hyperlink>
    </w:p>
    <w:p w:rsidR="00754C4C" w:rsidRPr="009B5E45" w:rsidRDefault="00754C4C" w:rsidP="009B5E4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B5E45">
        <w:rPr>
          <w:rFonts w:ascii="Arial" w:hAnsi="Arial" w:cs="Arial"/>
          <w:sz w:val="20"/>
          <w:szCs w:val="20"/>
        </w:rPr>
        <w:t>Sveženj o mobilnosti v mestih:</w:t>
      </w:r>
    </w:p>
    <w:p w:rsidR="00754C4C" w:rsidRPr="009B5E45" w:rsidRDefault="00754C4C" w:rsidP="009B5E4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9B5E45">
          <w:rPr>
            <w:rStyle w:val="Hiperpovezava"/>
            <w:rFonts w:ascii="Arial" w:hAnsi="Arial" w:cs="Arial"/>
            <w:sz w:val="20"/>
            <w:szCs w:val="20"/>
          </w:rPr>
          <w:t>https://ec.europa.eu/transport/themes/clean-transport-urban-transport/urban-mobility/urban-mobility-package_sl</w:t>
        </w:r>
      </w:hyperlink>
    </w:p>
    <w:p w:rsidR="00754C4C" w:rsidRDefault="00754C4C" w:rsidP="009B5E4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Pripravila:</w:t>
      </w:r>
      <w:r w:rsidR="00D51C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Darja Kocbek</w:t>
      </w:r>
    </w:p>
    <w:p w:rsidR="00754C4C" w:rsidRDefault="00754C4C" w:rsidP="009B5E45">
      <w:pPr>
        <w:spacing w:after="0"/>
        <w:rPr>
          <w:rFonts w:ascii="Arial" w:hAnsi="Arial" w:cs="Arial"/>
          <w:sz w:val="20"/>
          <w:szCs w:val="20"/>
        </w:rPr>
      </w:pPr>
    </w:p>
    <w:p w:rsidR="009B5E45" w:rsidRPr="00754C4C" w:rsidRDefault="009B5E45" w:rsidP="009B5E45">
      <w:pPr>
        <w:spacing w:after="0"/>
        <w:rPr>
          <w:rFonts w:ascii="Arial" w:hAnsi="Arial" w:cs="Arial"/>
          <w:sz w:val="20"/>
          <w:szCs w:val="20"/>
        </w:rPr>
      </w:pPr>
    </w:p>
    <w:sectPr w:rsidR="009B5E45" w:rsidRPr="00754C4C" w:rsidSect="00156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07F0C"/>
    <w:multiLevelType w:val="hybridMultilevel"/>
    <w:tmpl w:val="83C0F7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5DCF"/>
    <w:rsid w:val="00027579"/>
    <w:rsid w:val="00156CDF"/>
    <w:rsid w:val="003C6C49"/>
    <w:rsid w:val="00465DCF"/>
    <w:rsid w:val="00754C4C"/>
    <w:rsid w:val="009B5E45"/>
    <w:rsid w:val="00A84C62"/>
    <w:rsid w:val="00D51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56CDF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275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54C4C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B5E45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0275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7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75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transport/themes/clean-transport-urban-transport/urban-mobility/urban-mobility-package_s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ca.europa.eu/lists/ecadocuments/sr20_06/sr_sustainable_urban_mobility_sl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2020-03-04T08:09:00Z</dcterms:created>
  <dcterms:modified xsi:type="dcterms:W3CDTF">2020-03-04T08:31:00Z</dcterms:modified>
</cp:coreProperties>
</file>