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62" w:rsidRPr="00467345" w:rsidRDefault="00A55962" w:rsidP="00A55962">
      <w:pPr>
        <w:tabs>
          <w:tab w:val="left" w:pos="2520"/>
          <w:tab w:val="left" w:pos="2700"/>
          <w:tab w:val="left" w:pos="3120"/>
        </w:tabs>
        <w:spacing w:before="240" w:after="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55962" w:rsidRPr="00301C78" w:rsidRDefault="00A55962" w:rsidP="00A55962">
      <w:pPr>
        <w:pStyle w:val="Naslov2"/>
        <w:tabs>
          <w:tab w:val="left" w:pos="3120"/>
        </w:tabs>
        <w:spacing w:before="0" w:after="240" w:afterAutospacing="0"/>
        <w:jc w:val="center"/>
        <w:rPr>
          <w:sz w:val="22"/>
        </w:rPr>
      </w:pPr>
      <w:r w:rsidRPr="00083714">
        <w:rPr>
          <w:sz w:val="22"/>
        </w:rPr>
        <w:t>Slovensko gospodarsko in raziskovalno združenje, Bruselj</w:t>
      </w:r>
    </w:p>
    <w:p w:rsidR="00A55962" w:rsidRPr="00083714" w:rsidRDefault="00A55962" w:rsidP="00A55962">
      <w:pPr>
        <w:pBdr>
          <w:bottom w:val="single" w:sz="6" w:space="1" w:color="auto"/>
        </w:pBdr>
        <w:tabs>
          <w:tab w:val="left" w:pos="3120"/>
        </w:tabs>
        <w:spacing w:after="240"/>
        <w:rPr>
          <w:sz w:val="16"/>
          <w:szCs w:val="16"/>
        </w:rPr>
      </w:pPr>
    </w:p>
    <w:p w:rsidR="00A55962" w:rsidRDefault="00A55962" w:rsidP="00A55962">
      <w:pPr>
        <w:tabs>
          <w:tab w:val="left" w:pos="3120"/>
        </w:tabs>
        <w:spacing w:after="240"/>
        <w:rPr>
          <w:b/>
        </w:rPr>
      </w:pPr>
      <w:r w:rsidRPr="00083714">
        <w:rPr>
          <w:b/>
        </w:rPr>
        <w:tab/>
      </w:r>
      <w:r>
        <w:rPr>
          <w:b/>
        </w:rPr>
        <w:t xml:space="preserve">Občasna informacija članom 34 </w:t>
      </w:r>
      <w:r w:rsidRPr="00083714">
        <w:rPr>
          <w:b/>
        </w:rPr>
        <w:t>– 20</w:t>
      </w:r>
      <w:r>
        <w:rPr>
          <w:b/>
        </w:rPr>
        <w:t>23</w:t>
      </w:r>
    </w:p>
    <w:p w:rsidR="00A55962" w:rsidRDefault="00A55962" w:rsidP="00A55962">
      <w:pPr>
        <w:tabs>
          <w:tab w:val="left" w:pos="3120"/>
        </w:tabs>
        <w:spacing w:after="240"/>
        <w:jc w:val="center"/>
        <w:rPr>
          <w:b/>
        </w:rPr>
      </w:pPr>
      <w:r>
        <w:rPr>
          <w:b/>
        </w:rPr>
        <w:t xml:space="preserve">27. februar </w:t>
      </w:r>
      <w:r w:rsidRPr="00083714">
        <w:rPr>
          <w:b/>
        </w:rPr>
        <w:t xml:space="preserve"> 20</w:t>
      </w:r>
      <w:r>
        <w:rPr>
          <w:b/>
        </w:rPr>
        <w:t>23</w:t>
      </w:r>
    </w:p>
    <w:p w:rsidR="00A55962" w:rsidRDefault="00A55962" w:rsidP="00A55962">
      <w:pPr>
        <w:jc w:val="center"/>
        <w:rPr>
          <w:rFonts w:ascii="Arial" w:hAnsi="Arial" w:cs="Arial"/>
          <w:b/>
          <w:i/>
        </w:rPr>
      </w:pPr>
      <w:r>
        <w:rPr>
          <w:b/>
          <w:color w:val="993300"/>
          <w:sz w:val="32"/>
          <w:szCs w:val="32"/>
        </w:rPr>
        <w:t xml:space="preserve">Odprt je poziv za prijavo partnerskih dogodkov v okviru letošnjega Zelenega tedna EU (EU </w:t>
      </w:r>
      <w:proofErr w:type="spellStart"/>
      <w:r>
        <w:rPr>
          <w:b/>
          <w:color w:val="993300"/>
          <w:sz w:val="32"/>
          <w:szCs w:val="32"/>
        </w:rPr>
        <w:t>Green</w:t>
      </w:r>
      <w:proofErr w:type="spellEnd"/>
      <w:r>
        <w:rPr>
          <w:b/>
          <w:color w:val="993300"/>
          <w:sz w:val="32"/>
          <w:szCs w:val="32"/>
        </w:rPr>
        <w:t xml:space="preserve"> </w:t>
      </w:r>
      <w:proofErr w:type="spellStart"/>
      <w:r>
        <w:rPr>
          <w:b/>
          <w:color w:val="993300"/>
          <w:sz w:val="32"/>
          <w:szCs w:val="32"/>
        </w:rPr>
        <w:t>Week</w:t>
      </w:r>
      <w:proofErr w:type="spellEnd"/>
      <w:r>
        <w:rPr>
          <w:b/>
          <w:color w:val="993300"/>
          <w:sz w:val="32"/>
          <w:szCs w:val="32"/>
        </w:rPr>
        <w:t>)</w:t>
      </w:r>
    </w:p>
    <w:p w:rsidR="00E72E9E" w:rsidRPr="002A6969" w:rsidRDefault="00976223" w:rsidP="002A6969">
      <w:pPr>
        <w:jc w:val="both"/>
        <w:rPr>
          <w:rFonts w:ascii="Arial" w:hAnsi="Arial" w:cs="Arial"/>
          <w:b/>
          <w:i/>
        </w:rPr>
      </w:pPr>
      <w:r w:rsidRPr="002A6969">
        <w:rPr>
          <w:rFonts w:ascii="Arial" w:hAnsi="Arial" w:cs="Arial"/>
          <w:b/>
          <w:i/>
        </w:rPr>
        <w:t>Do 15. marca je o</w:t>
      </w:r>
      <w:r w:rsidR="00D62CC5" w:rsidRPr="002A6969">
        <w:rPr>
          <w:rFonts w:ascii="Arial" w:hAnsi="Arial" w:cs="Arial"/>
          <w:b/>
          <w:i/>
        </w:rPr>
        <w:t xml:space="preserve">dprt poziv za prijavo partnerskih dogodkov v okviru letošnjega </w:t>
      </w:r>
      <w:r w:rsidR="002A6969" w:rsidRPr="002A6969">
        <w:rPr>
          <w:rFonts w:ascii="Arial" w:hAnsi="Arial" w:cs="Arial"/>
          <w:b/>
          <w:i/>
        </w:rPr>
        <w:t>Zelenega tedna EU</w:t>
      </w:r>
      <w:r w:rsidR="00D62CC5" w:rsidRPr="002A6969">
        <w:rPr>
          <w:rFonts w:ascii="Arial" w:hAnsi="Arial" w:cs="Arial"/>
          <w:b/>
          <w:i/>
        </w:rPr>
        <w:t xml:space="preserve"> (EU </w:t>
      </w:r>
      <w:proofErr w:type="spellStart"/>
      <w:r w:rsidR="00D62CC5" w:rsidRPr="002A6969">
        <w:rPr>
          <w:rFonts w:ascii="Arial" w:hAnsi="Arial" w:cs="Arial"/>
          <w:b/>
          <w:i/>
        </w:rPr>
        <w:t>Green</w:t>
      </w:r>
      <w:proofErr w:type="spellEnd"/>
      <w:r w:rsidR="00D62CC5" w:rsidRPr="002A6969">
        <w:rPr>
          <w:rFonts w:ascii="Arial" w:hAnsi="Arial" w:cs="Arial"/>
          <w:b/>
          <w:i/>
        </w:rPr>
        <w:t xml:space="preserve"> </w:t>
      </w:r>
      <w:proofErr w:type="spellStart"/>
      <w:r w:rsidR="00D62CC5" w:rsidRPr="002A6969">
        <w:rPr>
          <w:rFonts w:ascii="Arial" w:hAnsi="Arial" w:cs="Arial"/>
          <w:b/>
          <w:i/>
        </w:rPr>
        <w:t>Week</w:t>
      </w:r>
      <w:proofErr w:type="spellEnd"/>
      <w:r w:rsidR="00D62CC5" w:rsidRPr="002A6969">
        <w:rPr>
          <w:rFonts w:ascii="Arial" w:hAnsi="Arial" w:cs="Arial"/>
          <w:b/>
          <w:i/>
        </w:rPr>
        <w:t>) med 3. in 11. junijem. Teme za letošnje partnerske dogodke so veščine za trajnostne, odporne in socialno pravične skupnosti. Namenjeni so lahko splošni javnosti ali posebnim skupinam. Za partnerske dogodke ni določena oblika ali slog, kako jih je treba izvesti.  Organizatorji se lahko sami odločijo, kaj najbolj ustreza njihovemu ciljnemu občinstvu. Člani lahko dobijo več informacij na SBRA.</w:t>
      </w:r>
    </w:p>
    <w:p w:rsidR="00D62CC5" w:rsidRPr="002A6969" w:rsidRDefault="00976223" w:rsidP="002A6969">
      <w:pPr>
        <w:jc w:val="both"/>
        <w:rPr>
          <w:rFonts w:ascii="Arial" w:hAnsi="Arial" w:cs="Arial"/>
          <w:sz w:val="20"/>
          <w:szCs w:val="20"/>
        </w:rPr>
      </w:pPr>
      <w:r w:rsidRPr="002A6969">
        <w:rPr>
          <w:rFonts w:ascii="Arial" w:hAnsi="Arial" w:cs="Arial"/>
          <w:sz w:val="20"/>
          <w:szCs w:val="20"/>
        </w:rPr>
        <w:t xml:space="preserve">Evropska komisija pričakuje prijave za izvedbo delavnic, spletnih seminarjev, javnih razprav, dogodkov za ozaveščanje, razstav, dejavnosti družabnih klubov. Partnerski dogodki so lahko nove ali ponavljajoče se pobude, lahko pa so tudi del drugih že načrtovanih dogodkov. Ne glede na obliko morajo biti organizirani na okolju prijazen in trajnosten način. </w:t>
      </w:r>
    </w:p>
    <w:p w:rsidR="00976223" w:rsidRPr="000C64C0" w:rsidRDefault="00A55962" w:rsidP="002A6969">
      <w:pPr>
        <w:jc w:val="both"/>
        <w:rPr>
          <w:rFonts w:ascii="Arial" w:hAnsi="Arial" w:cs="Arial"/>
          <w:b/>
          <w:sz w:val="20"/>
          <w:szCs w:val="20"/>
        </w:rPr>
      </w:pPr>
      <w:r w:rsidRPr="000C64C0">
        <w:rPr>
          <w:rFonts w:ascii="Arial" w:hAnsi="Arial" w:cs="Arial"/>
          <w:b/>
          <w:sz w:val="20"/>
          <w:szCs w:val="20"/>
        </w:rPr>
        <w:t>Tabela 1:</w:t>
      </w:r>
      <w:r w:rsidR="00976223" w:rsidRPr="000C64C0">
        <w:rPr>
          <w:rFonts w:ascii="Arial" w:hAnsi="Arial" w:cs="Arial"/>
          <w:b/>
          <w:sz w:val="20"/>
          <w:szCs w:val="20"/>
        </w:rPr>
        <w:t xml:space="preserve"> </w:t>
      </w:r>
      <w:r w:rsidRPr="000C64C0">
        <w:rPr>
          <w:rFonts w:ascii="Arial" w:hAnsi="Arial" w:cs="Arial"/>
          <w:b/>
          <w:sz w:val="20"/>
          <w:szCs w:val="20"/>
        </w:rPr>
        <w:t>Teme za organizacijo partnerskih dogodkov</w:t>
      </w:r>
    </w:p>
    <w:tbl>
      <w:tblPr>
        <w:tblStyle w:val="Tabela-mrea"/>
        <w:tblW w:w="0" w:type="auto"/>
        <w:tblLook w:val="04A0"/>
      </w:tblPr>
      <w:tblGrid>
        <w:gridCol w:w="9212"/>
      </w:tblGrid>
      <w:tr w:rsidR="00A55962" w:rsidTr="00A55962">
        <w:tc>
          <w:tcPr>
            <w:tcW w:w="9212" w:type="dxa"/>
          </w:tcPr>
          <w:p w:rsidR="00A55962" w:rsidRPr="000C64C0" w:rsidRDefault="00A55962" w:rsidP="002A6969">
            <w:pPr>
              <w:jc w:val="both"/>
              <w:rPr>
                <w:rFonts w:ascii="Arial" w:hAnsi="Arial" w:cs="Arial"/>
                <w:b/>
                <w:sz w:val="20"/>
                <w:szCs w:val="20"/>
              </w:rPr>
            </w:pPr>
            <w:r w:rsidRPr="000C64C0">
              <w:rPr>
                <w:rFonts w:ascii="Arial" w:hAnsi="Arial" w:cs="Arial"/>
                <w:b/>
                <w:sz w:val="20"/>
                <w:szCs w:val="20"/>
              </w:rPr>
              <w:t>Teme</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 xml:space="preserve">Kakšna so znanja in spretnosti za zeleni prehod? Zakaj so pomembne? </w:t>
            </w:r>
          </w:p>
        </w:tc>
      </w:tr>
      <w:tr w:rsidR="00A55962" w:rsidTr="00A55962">
        <w:tc>
          <w:tcPr>
            <w:tcW w:w="9212" w:type="dxa"/>
          </w:tcPr>
          <w:p w:rsidR="00A55962" w:rsidRPr="00A55962" w:rsidRDefault="000C64C0" w:rsidP="000406B1">
            <w:pPr>
              <w:jc w:val="both"/>
              <w:rPr>
                <w:rFonts w:ascii="Arial" w:hAnsi="Arial" w:cs="Arial"/>
                <w:sz w:val="20"/>
                <w:szCs w:val="20"/>
              </w:rPr>
            </w:pPr>
            <w:r>
              <w:rPr>
                <w:rFonts w:ascii="Arial" w:hAnsi="Arial" w:cs="Arial"/>
                <w:sz w:val="20"/>
                <w:szCs w:val="20"/>
              </w:rPr>
              <w:t>Katere so p</w:t>
            </w:r>
            <w:r w:rsidR="00A55962" w:rsidRPr="00A55962">
              <w:rPr>
                <w:rFonts w:ascii="Arial" w:hAnsi="Arial" w:cs="Arial"/>
                <w:sz w:val="20"/>
                <w:szCs w:val="20"/>
              </w:rPr>
              <w:t>rednosti spretnosti za odporne, socialno poštene in pravične skupnosti;</w:t>
            </w:r>
          </w:p>
        </w:tc>
      </w:tr>
      <w:tr w:rsidR="00A55962" w:rsidTr="00A55962">
        <w:tc>
          <w:tcPr>
            <w:tcW w:w="9212" w:type="dxa"/>
          </w:tcPr>
          <w:p w:rsidR="00A55962" w:rsidRPr="00A55962" w:rsidRDefault="000C64C0" w:rsidP="000C64C0">
            <w:pPr>
              <w:jc w:val="both"/>
              <w:rPr>
                <w:rFonts w:ascii="Arial" w:hAnsi="Arial" w:cs="Arial"/>
                <w:sz w:val="20"/>
                <w:szCs w:val="20"/>
              </w:rPr>
            </w:pPr>
            <w:r>
              <w:rPr>
                <w:rFonts w:ascii="Arial" w:hAnsi="Arial" w:cs="Arial"/>
                <w:sz w:val="20"/>
                <w:szCs w:val="20"/>
              </w:rPr>
              <w:t>O</w:t>
            </w:r>
            <w:r w:rsidR="00A55962" w:rsidRPr="00A55962">
              <w:rPr>
                <w:rFonts w:ascii="Arial" w:hAnsi="Arial" w:cs="Arial"/>
                <w:sz w:val="20"/>
                <w:szCs w:val="20"/>
              </w:rPr>
              <w:t xml:space="preserve">blikovanje bolj trajnostnega gospodarstva EU po </w:t>
            </w:r>
            <w:proofErr w:type="spellStart"/>
            <w:r>
              <w:rPr>
                <w:rFonts w:ascii="Arial" w:hAnsi="Arial" w:cs="Arial"/>
                <w:sz w:val="20"/>
                <w:szCs w:val="20"/>
              </w:rPr>
              <w:t>covidu</w:t>
            </w:r>
            <w:proofErr w:type="spellEnd"/>
            <w:r w:rsidR="00A55962" w:rsidRPr="00A55962">
              <w:rPr>
                <w:rFonts w:ascii="Arial" w:hAnsi="Arial" w:cs="Arial"/>
                <w:sz w:val="20"/>
                <w:szCs w:val="20"/>
              </w:rPr>
              <w:t>-19</w:t>
            </w:r>
            <w:r>
              <w:rPr>
                <w:rFonts w:ascii="Arial" w:hAnsi="Arial" w:cs="Arial"/>
                <w:sz w:val="20"/>
                <w:szCs w:val="20"/>
              </w:rPr>
              <w:t xml:space="preserve">, </w:t>
            </w:r>
            <w:r w:rsidR="00A55962" w:rsidRPr="00A55962">
              <w:rPr>
                <w:rFonts w:ascii="Arial" w:hAnsi="Arial" w:cs="Arial"/>
                <w:sz w:val="20"/>
                <w:szCs w:val="20"/>
              </w:rPr>
              <w:t xml:space="preserve">ustvarjanje zelenih delovnih mest </w:t>
            </w:r>
            <w:r w:rsidRPr="00A55962">
              <w:rPr>
                <w:rFonts w:ascii="Arial" w:hAnsi="Arial" w:cs="Arial"/>
                <w:sz w:val="20"/>
                <w:szCs w:val="20"/>
              </w:rPr>
              <w:t>in zmanjševanje socialnih neenakosti</w:t>
            </w:r>
          </w:p>
        </w:tc>
      </w:tr>
      <w:tr w:rsidR="00A55962" w:rsidTr="00A55962">
        <w:tc>
          <w:tcPr>
            <w:tcW w:w="9212" w:type="dxa"/>
          </w:tcPr>
          <w:p w:rsidR="00A55962" w:rsidRPr="00A55962" w:rsidRDefault="000C64C0" w:rsidP="000406B1">
            <w:pPr>
              <w:jc w:val="both"/>
              <w:rPr>
                <w:rFonts w:ascii="Arial" w:hAnsi="Arial" w:cs="Arial"/>
                <w:sz w:val="20"/>
                <w:szCs w:val="20"/>
              </w:rPr>
            </w:pPr>
            <w:r>
              <w:rPr>
                <w:rFonts w:ascii="Arial" w:hAnsi="Arial" w:cs="Arial"/>
                <w:sz w:val="20"/>
                <w:szCs w:val="20"/>
              </w:rPr>
              <w:t>-</w:t>
            </w:r>
            <w:r w:rsidR="00A55962" w:rsidRPr="00A55962">
              <w:rPr>
                <w:rFonts w:ascii="Arial" w:hAnsi="Arial" w:cs="Arial"/>
                <w:sz w:val="20"/>
                <w:szCs w:val="20"/>
              </w:rPr>
              <w:t xml:space="preserve">Prispevek znanj in spretnosti za zeleni prehod k čistemu, naravi prijaznemu in </w:t>
            </w:r>
            <w:proofErr w:type="spellStart"/>
            <w:r w:rsidR="00A55962" w:rsidRPr="00A55962">
              <w:rPr>
                <w:rFonts w:ascii="Arial" w:hAnsi="Arial" w:cs="Arial"/>
                <w:sz w:val="20"/>
                <w:szCs w:val="20"/>
              </w:rPr>
              <w:t>ogljično</w:t>
            </w:r>
            <w:proofErr w:type="spellEnd"/>
            <w:r w:rsidR="00A55962" w:rsidRPr="00A55962">
              <w:rPr>
                <w:rFonts w:ascii="Arial" w:hAnsi="Arial" w:cs="Arial"/>
                <w:sz w:val="20"/>
                <w:szCs w:val="20"/>
              </w:rPr>
              <w:t xml:space="preserve"> nevtralnemu gospodarstvu;</w:t>
            </w:r>
          </w:p>
        </w:tc>
      </w:tr>
      <w:tr w:rsidR="00A55962" w:rsidTr="00A55962">
        <w:tc>
          <w:tcPr>
            <w:tcW w:w="9212" w:type="dxa"/>
          </w:tcPr>
          <w:p w:rsidR="00A55962" w:rsidRPr="00A55962" w:rsidRDefault="000C64C0" w:rsidP="000406B1">
            <w:pPr>
              <w:jc w:val="both"/>
              <w:rPr>
                <w:rFonts w:ascii="Arial" w:hAnsi="Arial" w:cs="Arial"/>
                <w:sz w:val="20"/>
                <w:szCs w:val="20"/>
              </w:rPr>
            </w:pPr>
            <w:r>
              <w:rPr>
                <w:rFonts w:ascii="Arial" w:hAnsi="Arial" w:cs="Arial"/>
                <w:sz w:val="20"/>
                <w:szCs w:val="20"/>
              </w:rPr>
              <w:t>K</w:t>
            </w:r>
            <w:r w:rsidR="00A55962" w:rsidRPr="00A55962">
              <w:rPr>
                <w:rFonts w:ascii="Arial" w:hAnsi="Arial" w:cs="Arial"/>
                <w:sz w:val="20"/>
                <w:szCs w:val="20"/>
              </w:rPr>
              <w:t xml:space="preserve">atera znanja in spretnosti za zeleni prehod so potrebna pri preoblikovanju industrijskih vrednostnih verig; </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Uporaba inovativnih tehnologij za spremljanje spretnosti in veščin za zeleni prehod;</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Uporaba znanj in spretnosti za zeleni prehod v povezavi z inovativnimi tehnologijami;</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 xml:space="preserve">Predstavitve znanj in spretnosti za zeleni prehod v podjetju; </w:t>
            </w:r>
          </w:p>
        </w:tc>
      </w:tr>
      <w:tr w:rsidR="00A55962" w:rsidTr="00A55962">
        <w:tc>
          <w:tcPr>
            <w:tcW w:w="9212" w:type="dxa"/>
          </w:tcPr>
          <w:p w:rsidR="00A55962" w:rsidRPr="00A55962" w:rsidRDefault="00A55962" w:rsidP="000C64C0">
            <w:pPr>
              <w:jc w:val="both"/>
              <w:rPr>
                <w:rFonts w:ascii="Arial" w:hAnsi="Arial" w:cs="Arial"/>
                <w:sz w:val="20"/>
                <w:szCs w:val="20"/>
              </w:rPr>
            </w:pPr>
            <w:r w:rsidRPr="00A55962">
              <w:rPr>
                <w:rFonts w:ascii="Arial" w:hAnsi="Arial" w:cs="Arial"/>
                <w:sz w:val="20"/>
                <w:szCs w:val="20"/>
              </w:rPr>
              <w:t xml:space="preserve">Osnovna znanja in spretnosti za zeleni prehod, ki </w:t>
            </w:r>
            <w:r w:rsidR="000C64C0">
              <w:rPr>
                <w:rFonts w:ascii="Arial" w:hAnsi="Arial" w:cs="Arial"/>
                <w:sz w:val="20"/>
                <w:szCs w:val="20"/>
              </w:rPr>
              <w:t>jih</w:t>
            </w:r>
            <w:r w:rsidRPr="00A55962">
              <w:rPr>
                <w:rFonts w:ascii="Arial" w:hAnsi="Arial" w:cs="Arial"/>
                <w:sz w:val="20"/>
                <w:szCs w:val="20"/>
              </w:rPr>
              <w:t xml:space="preserve"> poučujejo v izobraževalnih ustanovah; </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 xml:space="preserve">Kako lahko izboljšamo izobraževalni sistem, da bo podpiral vse večje potrebe po spretnostih za zeleni prehod? </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Usklajevanje spretnosti za zeleni prehod v izobraževanju s potrebami trga dela</w:t>
            </w:r>
          </w:p>
        </w:tc>
      </w:tr>
      <w:tr w:rsidR="00A55962" w:rsidTr="00A55962">
        <w:tc>
          <w:tcPr>
            <w:tcW w:w="9212" w:type="dxa"/>
          </w:tcPr>
          <w:p w:rsidR="00A55962" w:rsidRPr="00A55962" w:rsidRDefault="00A55962" w:rsidP="000406B1">
            <w:pPr>
              <w:jc w:val="both"/>
              <w:rPr>
                <w:rFonts w:ascii="Arial" w:hAnsi="Arial" w:cs="Arial"/>
                <w:sz w:val="20"/>
                <w:szCs w:val="20"/>
              </w:rPr>
            </w:pPr>
            <w:r w:rsidRPr="00A55962">
              <w:rPr>
                <w:rFonts w:ascii="Arial" w:hAnsi="Arial" w:cs="Arial"/>
                <w:sz w:val="20"/>
                <w:szCs w:val="20"/>
              </w:rPr>
              <w:t>Katere spretnosti za zeleni prehod je mogoče učiti že v zelo mladih letih.</w:t>
            </w:r>
          </w:p>
        </w:tc>
      </w:tr>
    </w:tbl>
    <w:p w:rsidR="00A55962" w:rsidRPr="002A6969" w:rsidRDefault="000C64C0" w:rsidP="002A6969">
      <w:pPr>
        <w:jc w:val="both"/>
        <w:rPr>
          <w:rFonts w:ascii="Arial" w:hAnsi="Arial" w:cs="Arial"/>
          <w:sz w:val="20"/>
          <w:szCs w:val="20"/>
        </w:rPr>
      </w:pPr>
      <w:r>
        <w:rPr>
          <w:rFonts w:ascii="Arial" w:hAnsi="Arial" w:cs="Arial"/>
          <w:sz w:val="20"/>
          <w:szCs w:val="20"/>
        </w:rPr>
        <w:t>Vir: Poziv</w:t>
      </w:r>
    </w:p>
    <w:p w:rsidR="002A6969" w:rsidRPr="000C64C0" w:rsidRDefault="002A6969" w:rsidP="002A6969">
      <w:pPr>
        <w:jc w:val="both"/>
        <w:rPr>
          <w:rFonts w:ascii="Arial" w:hAnsi="Arial" w:cs="Arial"/>
          <w:b/>
          <w:sz w:val="20"/>
          <w:szCs w:val="20"/>
        </w:rPr>
      </w:pPr>
      <w:r w:rsidRPr="000C64C0">
        <w:rPr>
          <w:rFonts w:ascii="Arial" w:hAnsi="Arial" w:cs="Arial"/>
          <w:b/>
          <w:sz w:val="20"/>
          <w:szCs w:val="20"/>
        </w:rPr>
        <w:lastRenderedPageBreak/>
        <w:t>Koristne informacije:</w:t>
      </w:r>
    </w:p>
    <w:p w:rsidR="002A6969" w:rsidRPr="000C64C0" w:rsidRDefault="002A6969" w:rsidP="000C64C0">
      <w:pPr>
        <w:pStyle w:val="Odstavekseznama"/>
        <w:numPr>
          <w:ilvl w:val="0"/>
          <w:numId w:val="1"/>
        </w:numPr>
        <w:tabs>
          <w:tab w:val="left" w:pos="1890"/>
        </w:tabs>
        <w:jc w:val="both"/>
        <w:rPr>
          <w:rFonts w:ascii="Arial" w:hAnsi="Arial" w:cs="Arial"/>
          <w:sz w:val="20"/>
          <w:szCs w:val="20"/>
        </w:rPr>
      </w:pPr>
      <w:r w:rsidRPr="000C64C0">
        <w:rPr>
          <w:rFonts w:ascii="Arial" w:hAnsi="Arial" w:cs="Arial"/>
          <w:sz w:val="20"/>
          <w:szCs w:val="20"/>
        </w:rPr>
        <w:t>Poziv:</w:t>
      </w:r>
      <w:r w:rsidR="00A55962" w:rsidRPr="000C64C0">
        <w:rPr>
          <w:rFonts w:ascii="Arial" w:hAnsi="Arial" w:cs="Arial"/>
          <w:sz w:val="20"/>
          <w:szCs w:val="20"/>
        </w:rPr>
        <w:tab/>
      </w:r>
    </w:p>
    <w:p w:rsidR="002A6969" w:rsidRPr="000C64C0" w:rsidRDefault="002A6969" w:rsidP="000C64C0">
      <w:pPr>
        <w:pStyle w:val="Odstavekseznama"/>
        <w:numPr>
          <w:ilvl w:val="0"/>
          <w:numId w:val="1"/>
        </w:numPr>
        <w:jc w:val="both"/>
        <w:rPr>
          <w:rFonts w:ascii="Arial" w:hAnsi="Arial" w:cs="Arial"/>
          <w:sz w:val="20"/>
          <w:szCs w:val="20"/>
        </w:rPr>
      </w:pPr>
      <w:hyperlink r:id="rId6" w:history="1">
        <w:r w:rsidRPr="000C64C0">
          <w:rPr>
            <w:rStyle w:val="Hiperpovezava"/>
            <w:rFonts w:ascii="Arial" w:hAnsi="Arial" w:cs="Arial"/>
            <w:sz w:val="20"/>
            <w:szCs w:val="20"/>
          </w:rPr>
          <w:t>https://environment.ec.europa.eu/eu-green-week-2023-partner-events_en</w:t>
        </w:r>
      </w:hyperlink>
    </w:p>
    <w:p w:rsidR="002A6969" w:rsidRPr="000C64C0" w:rsidRDefault="002A6969" w:rsidP="000C64C0">
      <w:pPr>
        <w:pStyle w:val="Odstavekseznama"/>
        <w:numPr>
          <w:ilvl w:val="0"/>
          <w:numId w:val="1"/>
        </w:numPr>
        <w:jc w:val="both"/>
        <w:rPr>
          <w:rFonts w:ascii="Arial" w:hAnsi="Arial" w:cs="Arial"/>
          <w:sz w:val="20"/>
          <w:szCs w:val="20"/>
        </w:rPr>
      </w:pPr>
      <w:r w:rsidRPr="000C64C0">
        <w:rPr>
          <w:rFonts w:ascii="Arial" w:hAnsi="Arial" w:cs="Arial"/>
          <w:sz w:val="20"/>
          <w:szCs w:val="20"/>
        </w:rPr>
        <w:t>Spletna stran z informacijami o Zelenem tednu EU:</w:t>
      </w:r>
    </w:p>
    <w:p w:rsidR="002A6969" w:rsidRPr="000C64C0" w:rsidRDefault="002A6969" w:rsidP="000C64C0">
      <w:pPr>
        <w:pStyle w:val="Odstavekseznama"/>
        <w:numPr>
          <w:ilvl w:val="0"/>
          <w:numId w:val="1"/>
        </w:numPr>
        <w:jc w:val="both"/>
        <w:rPr>
          <w:rFonts w:ascii="Arial" w:hAnsi="Arial" w:cs="Arial"/>
          <w:sz w:val="20"/>
          <w:szCs w:val="20"/>
        </w:rPr>
      </w:pPr>
      <w:hyperlink r:id="rId7" w:history="1">
        <w:r w:rsidRPr="000C64C0">
          <w:rPr>
            <w:rStyle w:val="Hiperpovezava"/>
            <w:rFonts w:ascii="Arial" w:hAnsi="Arial" w:cs="Arial"/>
            <w:sz w:val="20"/>
            <w:szCs w:val="20"/>
          </w:rPr>
          <w:t>https://environment.ec.europa.eu/events/eu-green-week-2023-2023-06-06_en</w:t>
        </w:r>
      </w:hyperlink>
    </w:p>
    <w:p w:rsidR="002A6969" w:rsidRPr="002A6969" w:rsidRDefault="002A6969" w:rsidP="000C64C0">
      <w:pPr>
        <w:spacing w:after="0"/>
        <w:jc w:val="both"/>
        <w:rPr>
          <w:rFonts w:ascii="Arial" w:hAnsi="Arial" w:cs="Arial"/>
          <w:sz w:val="20"/>
          <w:szCs w:val="20"/>
        </w:rPr>
      </w:pPr>
      <w:r w:rsidRPr="002A6969">
        <w:rPr>
          <w:rFonts w:ascii="Arial" w:hAnsi="Arial" w:cs="Arial"/>
          <w:sz w:val="20"/>
          <w:szCs w:val="20"/>
        </w:rPr>
        <w:t>Pripravila:</w:t>
      </w:r>
    </w:p>
    <w:p w:rsidR="002A6969" w:rsidRPr="002A6969" w:rsidRDefault="002A6969" w:rsidP="000C64C0">
      <w:pPr>
        <w:spacing w:after="0"/>
        <w:jc w:val="both"/>
        <w:rPr>
          <w:rFonts w:ascii="Arial" w:hAnsi="Arial" w:cs="Arial"/>
          <w:sz w:val="20"/>
          <w:szCs w:val="20"/>
        </w:rPr>
      </w:pPr>
      <w:r w:rsidRPr="002A6969">
        <w:rPr>
          <w:rFonts w:ascii="Arial" w:hAnsi="Arial" w:cs="Arial"/>
          <w:sz w:val="20"/>
          <w:szCs w:val="20"/>
        </w:rPr>
        <w:t>Darja Kocbek</w:t>
      </w:r>
    </w:p>
    <w:p w:rsidR="002A6969" w:rsidRPr="002A6969" w:rsidRDefault="002A6969" w:rsidP="000C64C0">
      <w:pPr>
        <w:spacing w:after="0"/>
        <w:jc w:val="both"/>
        <w:rPr>
          <w:rFonts w:ascii="Arial" w:hAnsi="Arial" w:cs="Arial"/>
          <w:sz w:val="20"/>
          <w:szCs w:val="20"/>
        </w:rPr>
      </w:pPr>
    </w:p>
    <w:sectPr w:rsidR="002A6969" w:rsidRPr="002A6969" w:rsidSect="00E72E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516F8"/>
    <w:multiLevelType w:val="hybridMultilevel"/>
    <w:tmpl w:val="BCA468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2CC5"/>
    <w:rsid w:val="000C64C0"/>
    <w:rsid w:val="002A6969"/>
    <w:rsid w:val="00976223"/>
    <w:rsid w:val="00A55962"/>
    <w:rsid w:val="00D62CC5"/>
    <w:rsid w:val="00E72E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72E9E"/>
  </w:style>
  <w:style w:type="paragraph" w:styleId="Naslov2">
    <w:name w:val="heading 2"/>
    <w:basedOn w:val="Navaden"/>
    <w:link w:val="Naslov2Znak"/>
    <w:uiPriority w:val="9"/>
    <w:qFormat/>
    <w:rsid w:val="00A5596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A6969"/>
    <w:rPr>
      <w:color w:val="0000FF" w:themeColor="hyperlink"/>
      <w:u w:val="single"/>
    </w:rPr>
  </w:style>
  <w:style w:type="character" w:customStyle="1" w:styleId="Naslov2Znak">
    <w:name w:val="Naslov 2 Znak"/>
    <w:basedOn w:val="Privzetapisavaodstavka"/>
    <w:link w:val="Naslov2"/>
    <w:uiPriority w:val="9"/>
    <w:rsid w:val="00A5596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559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5962"/>
    <w:rPr>
      <w:rFonts w:ascii="Tahoma" w:hAnsi="Tahoma" w:cs="Tahoma"/>
      <w:sz w:val="16"/>
      <w:szCs w:val="16"/>
    </w:rPr>
  </w:style>
  <w:style w:type="table" w:styleId="Tabela-mrea">
    <w:name w:val="Table Grid"/>
    <w:basedOn w:val="Navadnatabela"/>
    <w:uiPriority w:val="59"/>
    <w:rsid w:val="00A55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0C64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vironment.ec.europa.eu/events/eu-green-week-2023-2023-06-06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vironment.ec.europa.eu/eu-green-week-2023-partner-event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400</Words>
  <Characters>2286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2023-02-22T18:30:00Z</dcterms:created>
  <dcterms:modified xsi:type="dcterms:W3CDTF">2023-02-22T19:16:00Z</dcterms:modified>
</cp:coreProperties>
</file>