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EA" w:rsidRPr="00D5331F" w:rsidRDefault="002940EA" w:rsidP="002940EA">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940EA" w:rsidRPr="00C446CC" w:rsidRDefault="002940EA" w:rsidP="002940EA">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2940EA" w:rsidRPr="00C446CC" w:rsidRDefault="002940EA" w:rsidP="002940EA">
      <w:pPr>
        <w:pBdr>
          <w:bottom w:val="single" w:sz="6" w:space="1" w:color="auto"/>
        </w:pBdr>
        <w:tabs>
          <w:tab w:val="left" w:pos="3120"/>
        </w:tabs>
        <w:spacing w:after="0"/>
        <w:jc w:val="center"/>
        <w:rPr>
          <w:sz w:val="16"/>
          <w:szCs w:val="16"/>
        </w:rPr>
      </w:pPr>
    </w:p>
    <w:p w:rsidR="002940EA" w:rsidRDefault="002940EA" w:rsidP="002940EA">
      <w:pPr>
        <w:tabs>
          <w:tab w:val="left" w:pos="3120"/>
        </w:tabs>
        <w:spacing w:after="0"/>
        <w:rPr>
          <w:b/>
        </w:rPr>
      </w:pPr>
      <w:r w:rsidRPr="00C446CC">
        <w:rPr>
          <w:b/>
        </w:rPr>
        <w:tab/>
      </w:r>
    </w:p>
    <w:p w:rsidR="002940EA" w:rsidRPr="00756713" w:rsidRDefault="002940EA" w:rsidP="002940EA">
      <w:pPr>
        <w:tabs>
          <w:tab w:val="left" w:pos="3120"/>
        </w:tabs>
        <w:spacing w:after="0"/>
        <w:jc w:val="center"/>
        <w:rPr>
          <w:b/>
        </w:rPr>
      </w:pPr>
      <w:r>
        <w:rPr>
          <w:b/>
        </w:rPr>
        <w:t>Občasna informacija članom 34</w:t>
      </w:r>
      <w:r w:rsidRPr="00756713">
        <w:rPr>
          <w:b/>
        </w:rPr>
        <w:t xml:space="preserve"> – 2019</w:t>
      </w:r>
    </w:p>
    <w:p w:rsidR="002940EA" w:rsidRDefault="002940EA" w:rsidP="002940EA">
      <w:pPr>
        <w:tabs>
          <w:tab w:val="left" w:pos="3120"/>
        </w:tabs>
        <w:spacing w:after="0"/>
        <w:jc w:val="center"/>
        <w:rPr>
          <w:b/>
        </w:rPr>
      </w:pPr>
    </w:p>
    <w:p w:rsidR="002940EA" w:rsidRDefault="002940EA" w:rsidP="002940EA">
      <w:pPr>
        <w:tabs>
          <w:tab w:val="left" w:pos="3120"/>
        </w:tabs>
        <w:spacing w:after="0"/>
        <w:jc w:val="center"/>
        <w:rPr>
          <w:b/>
        </w:rPr>
      </w:pPr>
      <w:r>
        <w:rPr>
          <w:b/>
        </w:rPr>
        <w:t>04</w:t>
      </w:r>
      <w:r w:rsidRPr="00756713">
        <w:rPr>
          <w:b/>
        </w:rPr>
        <w:t xml:space="preserve">. </w:t>
      </w:r>
      <w:r>
        <w:rPr>
          <w:b/>
        </w:rPr>
        <w:t>marec</w:t>
      </w:r>
      <w:r w:rsidRPr="00756713">
        <w:rPr>
          <w:b/>
        </w:rPr>
        <w:t xml:space="preserve"> 2019</w:t>
      </w:r>
    </w:p>
    <w:p w:rsidR="002940EA" w:rsidRPr="008D5A5F" w:rsidRDefault="002940EA" w:rsidP="002940EA">
      <w:pPr>
        <w:tabs>
          <w:tab w:val="left" w:pos="3120"/>
        </w:tabs>
        <w:spacing w:after="0"/>
        <w:jc w:val="center"/>
        <w:rPr>
          <w:b/>
        </w:rPr>
      </w:pPr>
    </w:p>
    <w:p w:rsidR="002940EA" w:rsidRDefault="002940EA" w:rsidP="002940EA">
      <w:pPr>
        <w:jc w:val="center"/>
        <w:rPr>
          <w:rFonts w:ascii="Arial" w:hAnsi="Arial" w:cs="Arial"/>
          <w:b/>
          <w:i/>
        </w:rPr>
      </w:pPr>
      <w:r>
        <w:rPr>
          <w:b/>
          <w:color w:val="993300"/>
          <w:sz w:val="32"/>
          <w:szCs w:val="32"/>
        </w:rPr>
        <w:t xml:space="preserve">Za razvoj </w:t>
      </w:r>
      <w:proofErr w:type="spellStart"/>
      <w:r>
        <w:rPr>
          <w:b/>
          <w:color w:val="993300"/>
          <w:sz w:val="32"/>
          <w:szCs w:val="32"/>
        </w:rPr>
        <w:t>nizkoogljičnih</w:t>
      </w:r>
      <w:proofErr w:type="spellEnd"/>
      <w:r>
        <w:rPr>
          <w:b/>
          <w:color w:val="993300"/>
          <w:sz w:val="32"/>
          <w:szCs w:val="32"/>
        </w:rPr>
        <w:t xml:space="preserve"> tehnologij bo na voljo 10 milijard evrov</w:t>
      </w:r>
    </w:p>
    <w:p w:rsidR="00E26814" w:rsidRPr="00EC6056" w:rsidRDefault="00B549AD" w:rsidP="00EC6056">
      <w:pPr>
        <w:jc w:val="both"/>
        <w:rPr>
          <w:rFonts w:ascii="Arial" w:hAnsi="Arial" w:cs="Arial"/>
          <w:b/>
          <w:i/>
        </w:rPr>
      </w:pPr>
      <w:r w:rsidRPr="00EC6056">
        <w:rPr>
          <w:rFonts w:ascii="Arial" w:hAnsi="Arial" w:cs="Arial"/>
          <w:b/>
          <w:i/>
        </w:rPr>
        <w:t>Evropska komisija je napovedala, da bo za povečanje globalne konkurenčnosti tehnologij z nizkimi emisijami ogljika v več sektorjih namenila deset milijard evrov. Prve razpise za zbiranje predlogov projektov, ki bodo dobila sredstva iz sklada za inovacije, namerava objaviti leta 2020, naslednji razpisi pa bodo sledili do leta 2030. Č</w:t>
      </w:r>
      <w:r w:rsidR="00E26814" w:rsidRPr="00EC6056">
        <w:rPr>
          <w:rFonts w:ascii="Arial" w:hAnsi="Arial" w:cs="Arial"/>
          <w:b/>
          <w:i/>
        </w:rPr>
        <w:t>lani se lahko za</w:t>
      </w:r>
      <w:r w:rsidRPr="00EC6056">
        <w:rPr>
          <w:rFonts w:ascii="Arial" w:hAnsi="Arial" w:cs="Arial"/>
          <w:b/>
          <w:i/>
        </w:rPr>
        <w:t xml:space="preserve"> podrobnejše informacije</w:t>
      </w:r>
      <w:r w:rsidR="00E26814" w:rsidRPr="00EC6056">
        <w:rPr>
          <w:rFonts w:ascii="Arial" w:hAnsi="Arial" w:cs="Arial"/>
          <w:b/>
          <w:i/>
        </w:rPr>
        <w:t xml:space="preserve"> o sredstvih, ki bodo na voljo, in tudi o razpisih</w:t>
      </w:r>
      <w:r w:rsidRPr="00EC6056">
        <w:rPr>
          <w:rFonts w:ascii="Arial" w:hAnsi="Arial" w:cs="Arial"/>
          <w:b/>
          <w:i/>
        </w:rPr>
        <w:t xml:space="preserve"> obrnejo na SBRA.</w:t>
      </w:r>
    </w:p>
    <w:p w:rsidR="00B549AD" w:rsidRPr="00EC6056" w:rsidRDefault="00E26814" w:rsidP="00EC6056">
      <w:pPr>
        <w:jc w:val="both"/>
        <w:rPr>
          <w:rFonts w:ascii="Arial" w:hAnsi="Arial" w:cs="Arial"/>
          <w:sz w:val="20"/>
          <w:szCs w:val="20"/>
        </w:rPr>
      </w:pPr>
      <w:r w:rsidRPr="00EC6056">
        <w:rPr>
          <w:rFonts w:ascii="Arial" w:hAnsi="Arial" w:cs="Arial"/>
          <w:sz w:val="20"/>
          <w:szCs w:val="20"/>
        </w:rPr>
        <w:t>Sklad za inovacije, v katerem se bodo zbirala sredstva, ki jih bo Evropska komisija delila prek razpisov, se bo polnil s</w:t>
      </w:r>
      <w:r w:rsidR="00B549AD" w:rsidRPr="00EC6056">
        <w:rPr>
          <w:rFonts w:ascii="Arial" w:hAnsi="Arial" w:cs="Arial"/>
          <w:sz w:val="20"/>
          <w:szCs w:val="20"/>
        </w:rPr>
        <w:t xml:space="preserve"> </w:t>
      </w:r>
      <w:r w:rsidRPr="00EC6056">
        <w:rPr>
          <w:rFonts w:ascii="Arial" w:hAnsi="Arial" w:cs="Arial"/>
          <w:sz w:val="20"/>
          <w:szCs w:val="20"/>
        </w:rPr>
        <w:t xml:space="preserve">prodajo dovolilnic na podlagi evropskega sistema za trgovanje z izpusti (ETS). V obdobju med letoma 2020 in 2030 se bo po oceni Evropske komisije iz tega vira nabralo vsaj 450 milijonov evrov. K temu znesku bodo dodali še neporabljena sredstva programa NER 300 (to je program za financiranje inovativnih </w:t>
      </w:r>
      <w:proofErr w:type="spellStart"/>
      <w:r w:rsidRPr="00EC6056">
        <w:rPr>
          <w:rFonts w:ascii="Arial" w:hAnsi="Arial" w:cs="Arial"/>
          <w:sz w:val="20"/>
          <w:szCs w:val="20"/>
        </w:rPr>
        <w:t>nizkoogljičnih</w:t>
      </w:r>
      <w:proofErr w:type="spellEnd"/>
      <w:r w:rsidRPr="00EC6056">
        <w:rPr>
          <w:rFonts w:ascii="Arial" w:hAnsi="Arial" w:cs="Arial"/>
          <w:sz w:val="20"/>
          <w:szCs w:val="20"/>
        </w:rPr>
        <w:t xml:space="preserve"> demonstracijskih projektov), kar bo skupaj naneslo okrog 10 milijard evrov.</w:t>
      </w:r>
    </w:p>
    <w:p w:rsidR="00604EA5" w:rsidRPr="00EC6056" w:rsidRDefault="00604EA5" w:rsidP="00EC6056">
      <w:pPr>
        <w:jc w:val="both"/>
        <w:rPr>
          <w:rFonts w:ascii="Arial" w:hAnsi="Arial" w:cs="Arial"/>
          <w:b/>
          <w:sz w:val="20"/>
          <w:szCs w:val="20"/>
        </w:rPr>
      </w:pPr>
      <w:r w:rsidRPr="00EC6056">
        <w:rPr>
          <w:rFonts w:ascii="Arial" w:hAnsi="Arial" w:cs="Arial"/>
          <w:b/>
          <w:sz w:val="20"/>
          <w:szCs w:val="20"/>
        </w:rPr>
        <w:t>Slika 1: Prikaz delovanja in financiranja sklada za inovacije</w:t>
      </w:r>
    </w:p>
    <w:p w:rsidR="00604EA5" w:rsidRPr="00EC6056" w:rsidRDefault="00604EA5" w:rsidP="00EC6056">
      <w:pPr>
        <w:jc w:val="both"/>
        <w:rPr>
          <w:rFonts w:ascii="Arial" w:hAnsi="Arial" w:cs="Arial"/>
          <w:sz w:val="20"/>
          <w:szCs w:val="20"/>
        </w:rPr>
      </w:pPr>
      <w:r w:rsidRPr="00EC6056">
        <w:rPr>
          <w:rFonts w:ascii="Arial" w:hAnsi="Arial" w:cs="Arial"/>
          <w:sz w:val="20"/>
          <w:szCs w:val="20"/>
        </w:rPr>
        <w:drawing>
          <wp:inline distT="0" distB="0" distL="0" distR="0">
            <wp:extent cx="5760720" cy="3024378"/>
            <wp:effectExtent l="19050" t="0" r="0" b="0"/>
            <wp:docPr id="1" name="Slika 1" descr="Innovat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ovation Fund"/>
                    <pic:cNvPicPr>
                      <a:picLocks noChangeAspect="1" noChangeArrowheads="1"/>
                    </pic:cNvPicPr>
                  </pic:nvPicPr>
                  <pic:blipFill>
                    <a:blip r:embed="rId6" cstate="print"/>
                    <a:srcRect/>
                    <a:stretch>
                      <a:fillRect/>
                    </a:stretch>
                  </pic:blipFill>
                  <pic:spPr bwMode="auto">
                    <a:xfrm>
                      <a:off x="0" y="0"/>
                      <a:ext cx="5760720" cy="3024378"/>
                    </a:xfrm>
                    <a:prstGeom prst="rect">
                      <a:avLst/>
                    </a:prstGeom>
                    <a:noFill/>
                    <a:ln w="9525">
                      <a:noFill/>
                      <a:miter lim="800000"/>
                      <a:headEnd/>
                      <a:tailEnd/>
                    </a:ln>
                  </pic:spPr>
                </pic:pic>
              </a:graphicData>
            </a:graphic>
          </wp:inline>
        </w:drawing>
      </w:r>
    </w:p>
    <w:p w:rsidR="00604EA5" w:rsidRPr="00EC6056" w:rsidRDefault="00604EA5" w:rsidP="00EC6056">
      <w:pPr>
        <w:jc w:val="both"/>
        <w:rPr>
          <w:rFonts w:ascii="Arial" w:hAnsi="Arial" w:cs="Arial"/>
          <w:sz w:val="20"/>
          <w:szCs w:val="20"/>
        </w:rPr>
      </w:pPr>
      <w:r w:rsidRPr="00EC6056">
        <w:rPr>
          <w:rFonts w:ascii="Arial" w:hAnsi="Arial" w:cs="Arial"/>
          <w:sz w:val="20"/>
          <w:szCs w:val="20"/>
        </w:rPr>
        <w:t>Vir: Evropska komisija</w:t>
      </w:r>
    </w:p>
    <w:p w:rsidR="00604EA5" w:rsidRPr="00EC6056" w:rsidRDefault="00604EA5" w:rsidP="00EC6056">
      <w:pPr>
        <w:jc w:val="both"/>
        <w:rPr>
          <w:rFonts w:ascii="Arial" w:hAnsi="Arial" w:cs="Arial"/>
          <w:b/>
          <w:sz w:val="20"/>
          <w:szCs w:val="20"/>
        </w:rPr>
      </w:pPr>
      <w:r w:rsidRPr="00EC6056">
        <w:rPr>
          <w:rFonts w:ascii="Arial" w:hAnsi="Arial" w:cs="Arial"/>
          <w:b/>
          <w:sz w:val="20"/>
          <w:szCs w:val="20"/>
        </w:rPr>
        <w:lastRenderedPageBreak/>
        <w:t>Koristne informacije:</w:t>
      </w:r>
    </w:p>
    <w:p w:rsidR="00604EA5" w:rsidRPr="00EC6056" w:rsidRDefault="00604EA5" w:rsidP="00EC6056">
      <w:pPr>
        <w:pStyle w:val="Odstavekseznama"/>
        <w:numPr>
          <w:ilvl w:val="0"/>
          <w:numId w:val="1"/>
        </w:numPr>
        <w:jc w:val="both"/>
        <w:rPr>
          <w:rFonts w:ascii="Arial" w:hAnsi="Arial" w:cs="Arial"/>
          <w:sz w:val="20"/>
          <w:szCs w:val="20"/>
        </w:rPr>
      </w:pPr>
      <w:r w:rsidRPr="00EC6056">
        <w:rPr>
          <w:rFonts w:ascii="Arial" w:hAnsi="Arial" w:cs="Arial"/>
          <w:sz w:val="20"/>
          <w:szCs w:val="20"/>
        </w:rPr>
        <w:t>Spletna stran sklada za inovacije:</w:t>
      </w:r>
    </w:p>
    <w:p w:rsidR="00604EA5" w:rsidRPr="00EC6056" w:rsidRDefault="00604EA5" w:rsidP="00EC6056">
      <w:pPr>
        <w:pStyle w:val="Odstavekseznama"/>
        <w:numPr>
          <w:ilvl w:val="0"/>
          <w:numId w:val="1"/>
        </w:numPr>
        <w:jc w:val="both"/>
        <w:rPr>
          <w:rFonts w:ascii="Arial" w:hAnsi="Arial" w:cs="Arial"/>
          <w:sz w:val="20"/>
          <w:szCs w:val="20"/>
        </w:rPr>
      </w:pPr>
      <w:hyperlink r:id="rId7" w:history="1">
        <w:r w:rsidRPr="00EC6056">
          <w:rPr>
            <w:rStyle w:val="Hiperpovezava"/>
            <w:rFonts w:ascii="Arial" w:hAnsi="Arial" w:cs="Arial"/>
            <w:sz w:val="20"/>
            <w:szCs w:val="20"/>
          </w:rPr>
          <w:t>https://ec.europa.eu/clima/policies/innovation-fund_en</w:t>
        </w:r>
      </w:hyperlink>
    </w:p>
    <w:p w:rsidR="00604EA5" w:rsidRPr="00EC6056" w:rsidRDefault="00604EA5" w:rsidP="00EC6056">
      <w:pPr>
        <w:spacing w:after="0"/>
        <w:jc w:val="both"/>
        <w:rPr>
          <w:rFonts w:ascii="Arial" w:hAnsi="Arial" w:cs="Arial"/>
          <w:sz w:val="20"/>
          <w:szCs w:val="20"/>
        </w:rPr>
      </w:pPr>
      <w:r w:rsidRPr="00EC6056">
        <w:rPr>
          <w:rFonts w:ascii="Arial" w:hAnsi="Arial" w:cs="Arial"/>
          <w:sz w:val="20"/>
          <w:szCs w:val="20"/>
        </w:rPr>
        <w:t>Pripravila:</w:t>
      </w:r>
    </w:p>
    <w:p w:rsidR="00604EA5" w:rsidRPr="00EC6056" w:rsidRDefault="00604EA5" w:rsidP="00EC6056">
      <w:pPr>
        <w:spacing w:after="0"/>
        <w:jc w:val="both"/>
        <w:rPr>
          <w:rFonts w:ascii="Arial" w:hAnsi="Arial" w:cs="Arial"/>
          <w:sz w:val="20"/>
          <w:szCs w:val="20"/>
        </w:rPr>
      </w:pPr>
      <w:r w:rsidRPr="00EC6056">
        <w:rPr>
          <w:rFonts w:ascii="Arial" w:hAnsi="Arial" w:cs="Arial"/>
          <w:sz w:val="20"/>
          <w:szCs w:val="20"/>
        </w:rPr>
        <w:t>Darja Kocbek</w:t>
      </w:r>
    </w:p>
    <w:p w:rsidR="00B549AD" w:rsidRPr="00EC6056" w:rsidRDefault="00B549AD" w:rsidP="00EC6056">
      <w:pPr>
        <w:spacing w:after="0"/>
        <w:jc w:val="both"/>
        <w:rPr>
          <w:rFonts w:ascii="Arial" w:hAnsi="Arial" w:cs="Arial"/>
          <w:sz w:val="20"/>
          <w:szCs w:val="20"/>
        </w:rPr>
      </w:pPr>
    </w:p>
    <w:p w:rsidR="00B549AD" w:rsidRDefault="00B549AD" w:rsidP="00B549AD">
      <w:pPr>
        <w:pStyle w:val="yiv4175228332msonormal"/>
      </w:pPr>
    </w:p>
    <w:p w:rsidR="00B549AD" w:rsidRDefault="00B549AD" w:rsidP="00B549AD">
      <w:pPr>
        <w:pStyle w:val="yiv4175228332msonormal"/>
      </w:pPr>
      <w:r>
        <w:t> </w:t>
      </w:r>
    </w:p>
    <w:p w:rsidR="00882F80" w:rsidRDefault="00882F80"/>
    <w:sectPr w:rsidR="00882F80" w:rsidSect="00882F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94AD4"/>
    <w:multiLevelType w:val="hybridMultilevel"/>
    <w:tmpl w:val="DC207A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49AD"/>
    <w:rsid w:val="002940EA"/>
    <w:rsid w:val="00604EA5"/>
    <w:rsid w:val="00882F80"/>
    <w:rsid w:val="00B549AD"/>
    <w:rsid w:val="00E26814"/>
    <w:rsid w:val="00EC605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2F80"/>
  </w:style>
  <w:style w:type="paragraph" w:styleId="Naslov2">
    <w:name w:val="heading 2"/>
    <w:basedOn w:val="Navaden"/>
    <w:next w:val="Navaden"/>
    <w:link w:val="Naslov2Znak"/>
    <w:uiPriority w:val="9"/>
    <w:semiHidden/>
    <w:unhideWhenUsed/>
    <w:qFormat/>
    <w:rsid w:val="002940EA"/>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4175228332msonormal">
    <w:name w:val="yiv4175228332msonormal"/>
    <w:basedOn w:val="Navaden"/>
    <w:rsid w:val="00B549A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604EA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04EA5"/>
    <w:rPr>
      <w:rFonts w:ascii="Tahoma" w:hAnsi="Tahoma" w:cs="Tahoma"/>
      <w:sz w:val="16"/>
      <w:szCs w:val="16"/>
    </w:rPr>
  </w:style>
  <w:style w:type="character" w:styleId="Hiperpovezava">
    <w:name w:val="Hyperlink"/>
    <w:basedOn w:val="Privzetapisavaodstavka"/>
    <w:uiPriority w:val="99"/>
    <w:unhideWhenUsed/>
    <w:rsid w:val="00604EA5"/>
    <w:rPr>
      <w:color w:val="0000FF" w:themeColor="hyperlink"/>
      <w:u w:val="single"/>
    </w:rPr>
  </w:style>
  <w:style w:type="paragraph" w:styleId="Odstavekseznama">
    <w:name w:val="List Paragraph"/>
    <w:basedOn w:val="Navaden"/>
    <w:uiPriority w:val="34"/>
    <w:qFormat/>
    <w:rsid w:val="00EC6056"/>
    <w:pPr>
      <w:ind w:left="720"/>
      <w:contextualSpacing/>
    </w:pPr>
  </w:style>
  <w:style w:type="character" w:customStyle="1" w:styleId="Naslov2Znak">
    <w:name w:val="Naslov 2 Znak"/>
    <w:basedOn w:val="Privzetapisavaodstavka"/>
    <w:link w:val="Naslov2"/>
    <w:uiPriority w:val="9"/>
    <w:semiHidden/>
    <w:rsid w:val="002940E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58160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clima/policies/innovation-fund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214</Words>
  <Characters>1226</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2019-02-26T14:33:00Z</dcterms:created>
  <dcterms:modified xsi:type="dcterms:W3CDTF">2019-02-26T16:56:00Z</dcterms:modified>
</cp:coreProperties>
</file>