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B6" w:rsidRDefault="000020B6" w:rsidP="000020B6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0B6" w:rsidRDefault="000020B6" w:rsidP="000020B6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0020B6" w:rsidRDefault="000020B6" w:rsidP="000020B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020B6" w:rsidRDefault="000020B6" w:rsidP="000020B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31</w:t>
      </w:r>
      <w:r w:rsidRPr="002C6815">
        <w:rPr>
          <w:rFonts w:ascii="Arial" w:hAnsi="Arial" w:cs="Arial"/>
          <w:b/>
        </w:rPr>
        <w:t xml:space="preserve"> – 2017</w:t>
      </w:r>
    </w:p>
    <w:p w:rsidR="000020B6" w:rsidRPr="00A104D8" w:rsidRDefault="000020B6" w:rsidP="000020B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</w:t>
      </w:r>
      <w:r w:rsidRPr="002C68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februar</w:t>
      </w:r>
      <w:r w:rsidRPr="002C6815">
        <w:rPr>
          <w:rFonts w:ascii="Arial" w:hAnsi="Arial" w:cs="Arial"/>
          <w:b/>
        </w:rPr>
        <w:t xml:space="preserve"> 2017</w:t>
      </w:r>
    </w:p>
    <w:p w:rsidR="000020B6" w:rsidRDefault="000020B6" w:rsidP="000020B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Poročilo o učinkovitosti in uspešnosti vodilnih pobud FET</w:t>
      </w:r>
    </w:p>
    <w:p w:rsidR="007050E2" w:rsidRPr="000E4CE8" w:rsidRDefault="007050E2" w:rsidP="000E4CE8">
      <w:pPr>
        <w:rPr>
          <w:rFonts w:ascii="Arial" w:hAnsi="Arial" w:cs="Arial"/>
          <w:b/>
          <w:i/>
        </w:rPr>
      </w:pPr>
      <w:r w:rsidRPr="000E4CE8">
        <w:rPr>
          <w:rFonts w:ascii="Arial" w:hAnsi="Arial" w:cs="Arial"/>
          <w:b/>
          <w:i/>
        </w:rPr>
        <w:t>Tri leta po uvedbi instrumenta vodilnih pobud FET so izvedenci na podlagi dveh vodilnih pobud –</w:t>
      </w:r>
      <w:r w:rsidR="000E4CE8">
        <w:rPr>
          <w:rFonts w:ascii="Arial" w:hAnsi="Arial" w:cs="Arial"/>
          <w:b/>
          <w:i/>
        </w:rPr>
        <w:t xml:space="preserve"> </w:t>
      </w:r>
      <w:proofErr w:type="spellStart"/>
      <w:r w:rsidRPr="000E4CE8">
        <w:rPr>
          <w:rFonts w:ascii="Arial" w:hAnsi="Arial" w:cs="Arial"/>
          <w:b/>
          <w:i/>
        </w:rPr>
        <w:t>Grafen</w:t>
      </w:r>
      <w:proofErr w:type="spellEnd"/>
      <w:r w:rsidRPr="000E4CE8">
        <w:rPr>
          <w:rFonts w:ascii="Arial" w:hAnsi="Arial" w:cs="Arial"/>
          <w:b/>
          <w:i/>
        </w:rPr>
        <w:t xml:space="preserve"> in Projekt človeški možgani – ocenili, ali služijo svojemu namenu in podali priporočila. Ugotovili so, da je instrument zaslužen za povečanje naložb v raziskave in inovacije, da vodilni pobudi </w:t>
      </w:r>
      <w:proofErr w:type="spellStart"/>
      <w:r w:rsidRPr="000E4CE8">
        <w:rPr>
          <w:rFonts w:ascii="Arial" w:hAnsi="Arial" w:cs="Arial"/>
          <w:b/>
          <w:i/>
        </w:rPr>
        <w:t>Grafen</w:t>
      </w:r>
      <w:proofErr w:type="spellEnd"/>
      <w:r w:rsidRPr="000E4CE8">
        <w:rPr>
          <w:rFonts w:ascii="Arial" w:hAnsi="Arial" w:cs="Arial"/>
          <w:b/>
          <w:i/>
        </w:rPr>
        <w:t xml:space="preserve"> in Človeški možgani podpirata odlično znanost, čeprav so med njima razlike. Morajo pa deležniki podrobneje preučiti, kako najbolje združiti v en instrument odlično znanost in odlične inovacije, kar je pogosto videti kot različni cilji.</w:t>
      </w:r>
    </w:p>
    <w:p w:rsidR="007D25F8" w:rsidRPr="000E4CE8" w:rsidRDefault="007050E2" w:rsidP="000E4CE8">
      <w:p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>Dodatne izboljšave so potrebne tudi pri strateškem in operativnem upravljanju vodilnih pobud. Prezgodaj je še za oceno</w:t>
      </w:r>
      <w:r w:rsidR="007D25F8" w:rsidRPr="000E4CE8">
        <w:rPr>
          <w:rFonts w:ascii="Arial" w:hAnsi="Arial" w:cs="Arial"/>
          <w:sz w:val="20"/>
          <w:szCs w:val="20"/>
        </w:rPr>
        <w:t>, kako učinkovit je bil instrument vodilnih pobud do zdaj. Bolje ga je treba vključiti v program Obzorje 2020.</w:t>
      </w:r>
    </w:p>
    <w:p w:rsidR="007D25F8" w:rsidRPr="000E4CE8" w:rsidRDefault="007D25F8" w:rsidP="000E4CE8">
      <w:p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 xml:space="preserve">Vodilni pobudi </w:t>
      </w:r>
      <w:proofErr w:type="spellStart"/>
      <w:r w:rsidRPr="000E4CE8">
        <w:rPr>
          <w:rFonts w:ascii="Arial" w:hAnsi="Arial" w:cs="Arial"/>
          <w:sz w:val="20"/>
          <w:szCs w:val="20"/>
        </w:rPr>
        <w:t>Grafen</w:t>
      </w:r>
      <w:proofErr w:type="spellEnd"/>
      <w:r w:rsidRPr="000E4CE8">
        <w:rPr>
          <w:rFonts w:ascii="Arial" w:hAnsi="Arial" w:cs="Arial"/>
          <w:sz w:val="20"/>
          <w:szCs w:val="20"/>
        </w:rPr>
        <w:t xml:space="preserve"> in Človeški možgani sta tudi pokazali, da je povezovanje kombiniranje javnih in zasebnih naložb v Evropi težje, kot je bilo pričakovano. Odnos med vodilnimi pobudami in nacionalnimi pobudami je treba gledati v okviru povezovanja med evropskimi in nacionalnimi programi, zato je evropsko dodano vrednost treba še dokazati.</w:t>
      </w:r>
    </w:p>
    <w:p w:rsidR="007D25F8" w:rsidRPr="000E4CE8" w:rsidRDefault="007D25F8" w:rsidP="000E4CE8">
      <w:pPr>
        <w:rPr>
          <w:rFonts w:ascii="Arial" w:hAnsi="Arial" w:cs="Arial"/>
          <w:b/>
          <w:sz w:val="20"/>
          <w:szCs w:val="20"/>
        </w:rPr>
      </w:pPr>
      <w:r w:rsidRPr="000E4CE8">
        <w:rPr>
          <w:rFonts w:ascii="Arial" w:hAnsi="Arial" w:cs="Arial"/>
          <w:b/>
          <w:sz w:val="20"/>
          <w:szCs w:val="20"/>
        </w:rPr>
        <w:t xml:space="preserve">Slika 1: Prikaz </w:t>
      </w:r>
      <w:proofErr w:type="spellStart"/>
      <w:r w:rsidRPr="000E4CE8">
        <w:rPr>
          <w:rFonts w:ascii="Arial" w:hAnsi="Arial" w:cs="Arial"/>
          <w:b/>
          <w:sz w:val="20"/>
          <w:szCs w:val="20"/>
        </w:rPr>
        <w:t>časovnice</w:t>
      </w:r>
      <w:proofErr w:type="spellEnd"/>
      <w:r w:rsidRPr="000E4CE8">
        <w:rPr>
          <w:rFonts w:ascii="Arial" w:hAnsi="Arial" w:cs="Arial"/>
          <w:b/>
          <w:sz w:val="20"/>
          <w:szCs w:val="20"/>
        </w:rPr>
        <w:t xml:space="preserve"> izvajanja vodilnih pobud</w:t>
      </w:r>
    </w:p>
    <w:p w:rsidR="000020B6" w:rsidRDefault="007D25F8" w:rsidP="000E4CE8">
      <w:p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drawing>
          <wp:inline distT="0" distB="0" distL="0" distR="0">
            <wp:extent cx="4772025" cy="248323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448" cy="248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5F8" w:rsidRPr="000E4CE8" w:rsidRDefault="007D25F8" w:rsidP="000E4CE8">
      <w:p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>Vir: Poročilo</w:t>
      </w:r>
    </w:p>
    <w:p w:rsidR="007D25F8" w:rsidRPr="000E4CE8" w:rsidRDefault="007D25F8" w:rsidP="000E4CE8">
      <w:pPr>
        <w:rPr>
          <w:rFonts w:ascii="Arial" w:hAnsi="Arial" w:cs="Arial"/>
          <w:b/>
          <w:sz w:val="20"/>
          <w:szCs w:val="20"/>
        </w:rPr>
      </w:pPr>
      <w:r w:rsidRPr="000E4CE8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7D25F8" w:rsidRPr="000E4CE8" w:rsidRDefault="007D25F8" w:rsidP="000E4CE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>Spletna stran s povezavo na poročilo:</w:t>
      </w:r>
    </w:p>
    <w:p w:rsidR="007D25F8" w:rsidRPr="000E4CE8" w:rsidRDefault="002C6B30" w:rsidP="000E4CE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0E4CE8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https://ec.europa.eu/digital-single-market/en/news/fet-flagships-receive-positive-evaluation-their-journey-towards-ground-breaking-innovation</w:t>
        </w:r>
      </w:hyperlink>
    </w:p>
    <w:p w:rsidR="002C6B30" w:rsidRPr="000E4CE8" w:rsidRDefault="002C6B30" w:rsidP="000E4CE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>Spletna stran o vodilnih pobudah:</w:t>
      </w:r>
    </w:p>
    <w:p w:rsidR="002C6B30" w:rsidRPr="000E4CE8" w:rsidRDefault="002C6B30" w:rsidP="000E4CE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0E4CE8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https://ec.europa.eu/digital-single-market/en/fet-flagships</w:t>
        </w:r>
      </w:hyperlink>
    </w:p>
    <w:p w:rsidR="002C6B30" w:rsidRPr="000E4CE8" w:rsidRDefault="002C6B30" w:rsidP="000E4CE8">
      <w:p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>Pripravila:</w:t>
      </w:r>
    </w:p>
    <w:p w:rsidR="002C6B30" w:rsidRPr="000E4CE8" w:rsidRDefault="002C6B30" w:rsidP="000E4CE8">
      <w:p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>Darja Kocbek</w:t>
      </w:r>
    </w:p>
    <w:p w:rsidR="00B459D4" w:rsidRPr="000E4CE8" w:rsidRDefault="007050E2" w:rsidP="000E4CE8">
      <w:pPr>
        <w:rPr>
          <w:rFonts w:ascii="Arial" w:hAnsi="Arial" w:cs="Arial"/>
          <w:sz w:val="20"/>
          <w:szCs w:val="20"/>
        </w:rPr>
      </w:pPr>
      <w:r w:rsidRPr="000E4CE8">
        <w:rPr>
          <w:rFonts w:ascii="Arial" w:hAnsi="Arial" w:cs="Arial"/>
          <w:sz w:val="20"/>
          <w:szCs w:val="20"/>
        </w:rPr>
        <w:t xml:space="preserve">   </w:t>
      </w:r>
    </w:p>
    <w:sectPr w:rsidR="00B459D4" w:rsidRPr="000E4CE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4DC5"/>
    <w:multiLevelType w:val="hybridMultilevel"/>
    <w:tmpl w:val="646E6F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0E2"/>
    <w:rsid w:val="000020B6"/>
    <w:rsid w:val="000E4CE8"/>
    <w:rsid w:val="001C7125"/>
    <w:rsid w:val="002C6B30"/>
    <w:rsid w:val="007050E2"/>
    <w:rsid w:val="007D25F8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20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25F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25F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C6B3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E4CE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02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fet-flagshi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news/fet-flagships-receive-positive-evaluation-their-journey-towards-ground-breaking-innov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1611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2017-02-16T12:17:00Z</dcterms:created>
  <dcterms:modified xsi:type="dcterms:W3CDTF">2017-02-16T12:40:00Z</dcterms:modified>
</cp:coreProperties>
</file>