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ABA" w:rsidRDefault="00507ABA" w:rsidP="00507ABA">
      <w:pPr>
        <w:tabs>
          <w:tab w:val="left" w:pos="2520"/>
          <w:tab w:val="left" w:pos="2700"/>
          <w:tab w:val="left" w:pos="3120"/>
        </w:tabs>
        <w:jc w:val="center"/>
      </w:pPr>
      <w:r>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507ABA" w:rsidRDefault="00507ABA" w:rsidP="00507ABA">
      <w:pPr>
        <w:pStyle w:val="Naslov2"/>
        <w:tabs>
          <w:tab w:val="left" w:pos="3120"/>
        </w:tabs>
        <w:jc w:val="center"/>
        <w:rPr>
          <w:b w:val="0"/>
          <w:bCs w:val="0"/>
          <w:i/>
          <w:iCs/>
          <w:sz w:val="22"/>
        </w:rPr>
      </w:pPr>
      <w:r>
        <w:rPr>
          <w:b w:val="0"/>
          <w:bCs w:val="0"/>
          <w:sz w:val="22"/>
        </w:rPr>
        <w:t>Slovensko gospodarsko in raziskovalno združenje, Bruselj</w:t>
      </w:r>
    </w:p>
    <w:p w:rsidR="00507ABA" w:rsidRDefault="00507ABA" w:rsidP="00507ABA">
      <w:pPr>
        <w:pBdr>
          <w:bottom w:val="single" w:sz="6" w:space="1" w:color="auto"/>
        </w:pBdr>
        <w:tabs>
          <w:tab w:val="left" w:pos="3120"/>
        </w:tabs>
        <w:jc w:val="center"/>
        <w:rPr>
          <w:sz w:val="16"/>
          <w:szCs w:val="16"/>
        </w:rPr>
      </w:pPr>
    </w:p>
    <w:p w:rsidR="00507ABA" w:rsidRDefault="00507ABA" w:rsidP="00507ABA">
      <w:pPr>
        <w:tabs>
          <w:tab w:val="left" w:pos="3120"/>
        </w:tabs>
        <w:jc w:val="center"/>
        <w:rPr>
          <w:rFonts w:ascii="Arial" w:hAnsi="Arial" w:cs="Arial"/>
          <w:b/>
        </w:rPr>
      </w:pPr>
      <w:r>
        <w:rPr>
          <w:rFonts w:ascii="Arial" w:hAnsi="Arial" w:cs="Arial"/>
          <w:b/>
        </w:rPr>
        <w:t>Občasna informacija članom 30</w:t>
      </w:r>
      <w:r w:rsidRPr="002C6815">
        <w:rPr>
          <w:rFonts w:ascii="Arial" w:hAnsi="Arial" w:cs="Arial"/>
          <w:b/>
        </w:rPr>
        <w:t xml:space="preserve"> – 2017</w:t>
      </w:r>
    </w:p>
    <w:p w:rsidR="00507ABA" w:rsidRPr="00A104D8" w:rsidRDefault="00507ABA" w:rsidP="00507ABA">
      <w:pPr>
        <w:tabs>
          <w:tab w:val="left" w:pos="3120"/>
        </w:tabs>
        <w:jc w:val="center"/>
        <w:rPr>
          <w:rFonts w:ascii="Arial" w:hAnsi="Arial" w:cs="Arial"/>
          <w:b/>
        </w:rPr>
      </w:pPr>
      <w:r>
        <w:rPr>
          <w:rFonts w:ascii="Arial" w:hAnsi="Arial" w:cs="Arial"/>
          <w:b/>
        </w:rPr>
        <w:t>20.</w:t>
      </w:r>
      <w:r w:rsidRPr="002C6815">
        <w:rPr>
          <w:rFonts w:ascii="Arial" w:hAnsi="Arial" w:cs="Arial"/>
          <w:b/>
        </w:rPr>
        <w:t xml:space="preserve"> </w:t>
      </w:r>
      <w:r>
        <w:rPr>
          <w:rFonts w:ascii="Arial" w:hAnsi="Arial" w:cs="Arial"/>
          <w:b/>
        </w:rPr>
        <w:t>februar</w:t>
      </w:r>
      <w:r w:rsidRPr="002C6815">
        <w:rPr>
          <w:rFonts w:ascii="Arial" w:hAnsi="Arial" w:cs="Arial"/>
          <w:b/>
        </w:rPr>
        <w:t xml:space="preserve"> 2017</w:t>
      </w:r>
    </w:p>
    <w:p w:rsidR="009A1E97" w:rsidRDefault="00507ABA" w:rsidP="00507ABA">
      <w:pPr>
        <w:jc w:val="center"/>
        <w:rPr>
          <w:rFonts w:ascii="Arial" w:hAnsi="Arial" w:cs="Arial"/>
          <w:b/>
          <w:i/>
        </w:rPr>
      </w:pPr>
      <w:r>
        <w:rPr>
          <w:rFonts w:ascii="Arial" w:hAnsi="Arial" w:cs="Arial"/>
          <w:b/>
          <w:color w:val="993300"/>
          <w:sz w:val="32"/>
          <w:szCs w:val="32"/>
        </w:rPr>
        <w:t>Študija o razvoju evropskih trgov z električno energijo med letoma 2020 in 2050</w:t>
      </w:r>
    </w:p>
    <w:p w:rsidR="00B459D4" w:rsidRPr="009A1E97" w:rsidRDefault="004D3736" w:rsidP="009A1E97">
      <w:pPr>
        <w:rPr>
          <w:rFonts w:ascii="Arial" w:hAnsi="Arial" w:cs="Arial"/>
          <w:b/>
          <w:i/>
        </w:rPr>
      </w:pPr>
      <w:r w:rsidRPr="009A1E97">
        <w:rPr>
          <w:rFonts w:ascii="Arial" w:hAnsi="Arial" w:cs="Arial"/>
          <w:b/>
          <w:i/>
        </w:rPr>
        <w:t>Evropska komisija je objavila rezultate študije o razvoju evropskih trgov z električno energijo med letoma 2020 in 2050 z ocenami, v kolikšni meri se bodo projekti za izrabo obnovljivih virov energije v tem obdobju sposobni financirati sami brez subvencij iz javne blagajne. Njeni pripravljavci ocenjujejo, da po letu 2020 nekaterih zrelih tehnologij za izrabo obnovljivih virov energije ne bo več treba subvencionirati. Delno bo tako zaradi zmanjšanja stroškov, delno zaradi možnih sprememb evropskega sistema za trgovanje z izpusti (ETS).</w:t>
      </w:r>
    </w:p>
    <w:p w:rsidR="004D3736" w:rsidRPr="009A1E97" w:rsidRDefault="004D3736" w:rsidP="009A1E97">
      <w:pPr>
        <w:rPr>
          <w:rFonts w:ascii="Arial" w:hAnsi="Arial" w:cs="Arial"/>
          <w:sz w:val="20"/>
          <w:szCs w:val="20"/>
        </w:rPr>
      </w:pPr>
      <w:r w:rsidRPr="009A1E97">
        <w:rPr>
          <w:rFonts w:ascii="Arial" w:hAnsi="Arial" w:cs="Arial"/>
          <w:sz w:val="20"/>
          <w:szCs w:val="20"/>
        </w:rPr>
        <w:t>Glavno priporočilo v poročilu je, da mora biti v EU glavni politični cilj izpolnitev ciljev za povečanje deleža obnovljivih virov energije v EU do leta 2050 in ciljev za zmanjšanje izpustov toplogr</w:t>
      </w:r>
      <w:r w:rsidR="009A1E97">
        <w:rPr>
          <w:rFonts w:ascii="Arial" w:hAnsi="Arial" w:cs="Arial"/>
          <w:sz w:val="20"/>
          <w:szCs w:val="20"/>
        </w:rPr>
        <w:t>ednih plinov do leta 2050 na nač</w:t>
      </w:r>
      <w:r w:rsidRPr="009A1E97">
        <w:rPr>
          <w:rFonts w:ascii="Arial" w:hAnsi="Arial" w:cs="Arial"/>
          <w:sz w:val="20"/>
          <w:szCs w:val="20"/>
        </w:rPr>
        <w:t>in, ki bo zahteval čim nižje družbene stroške, to pomeni, da je treba zagotoviti čim bolj učinkovito obratovanje, da nižanje stroškov za in</w:t>
      </w:r>
      <w:r w:rsidR="009A1E97">
        <w:rPr>
          <w:rFonts w:ascii="Arial" w:hAnsi="Arial" w:cs="Arial"/>
          <w:sz w:val="20"/>
          <w:szCs w:val="20"/>
        </w:rPr>
        <w:t>vestitorje ne bo povzročilo dvi</w:t>
      </w:r>
      <w:r w:rsidRPr="009A1E97">
        <w:rPr>
          <w:rFonts w:ascii="Arial" w:hAnsi="Arial" w:cs="Arial"/>
          <w:sz w:val="20"/>
          <w:szCs w:val="20"/>
        </w:rPr>
        <w:t>ga cen za porabnike.</w:t>
      </w:r>
    </w:p>
    <w:p w:rsidR="004D3736" w:rsidRPr="009A1E97" w:rsidRDefault="00E106FE" w:rsidP="009A1E97">
      <w:pPr>
        <w:rPr>
          <w:rFonts w:ascii="Arial" w:hAnsi="Arial" w:cs="Arial"/>
          <w:sz w:val="20"/>
          <w:szCs w:val="20"/>
        </w:rPr>
      </w:pPr>
      <w:r w:rsidRPr="009A1E97">
        <w:rPr>
          <w:rFonts w:ascii="Arial" w:hAnsi="Arial" w:cs="Arial"/>
          <w:sz w:val="20"/>
          <w:szCs w:val="20"/>
        </w:rPr>
        <w:t xml:space="preserve">Priporočila so pripravljena na podlagi dosedanjih izkušenj s sistemi podpor za izrabo obnovljivih virov energije v Evropi in po svetu. </w:t>
      </w:r>
      <w:r w:rsidR="009A1E97" w:rsidRPr="009A1E97">
        <w:rPr>
          <w:rFonts w:ascii="Arial" w:hAnsi="Arial" w:cs="Arial"/>
          <w:sz w:val="20"/>
          <w:szCs w:val="20"/>
        </w:rPr>
        <w:t>V študiji so uporabljeni različni scenariji, na podlagi katerih so narejene ocene. Splošna ocena je, da bo treba med letoma 2020 in 2030 na leto zagotoviti za 25 milijard evrov javnih sredstev za naložbe v izrabo obnovljivih virov energije, da bi dosegli cilj za povečanje deleža obnovljivih virov energije v EU na 27 odstotkov do leta 2030 in zmanjšanje izpustov toplogrednih plinov za 80 do 95 odstotkov glede na leto 1990 do leta 2050.</w:t>
      </w:r>
    </w:p>
    <w:p w:rsidR="00E106FE" w:rsidRPr="009A1E97" w:rsidRDefault="00E106FE" w:rsidP="009A1E97">
      <w:pPr>
        <w:rPr>
          <w:rFonts w:ascii="Arial" w:hAnsi="Arial" w:cs="Arial"/>
          <w:b/>
          <w:sz w:val="20"/>
          <w:szCs w:val="20"/>
        </w:rPr>
      </w:pPr>
      <w:r w:rsidRPr="009A1E97">
        <w:rPr>
          <w:rFonts w:ascii="Arial" w:hAnsi="Arial" w:cs="Arial"/>
          <w:b/>
          <w:sz w:val="20"/>
          <w:szCs w:val="20"/>
        </w:rPr>
        <w:t>Koristne informacije:</w:t>
      </w:r>
    </w:p>
    <w:p w:rsidR="00E106FE" w:rsidRPr="009A1E97" w:rsidRDefault="009A1E97" w:rsidP="009A1E97">
      <w:pPr>
        <w:pStyle w:val="Odstavekseznama"/>
        <w:numPr>
          <w:ilvl w:val="0"/>
          <w:numId w:val="1"/>
        </w:numPr>
        <w:rPr>
          <w:rFonts w:ascii="Arial" w:hAnsi="Arial" w:cs="Arial"/>
          <w:sz w:val="20"/>
          <w:szCs w:val="20"/>
        </w:rPr>
      </w:pPr>
      <w:r w:rsidRPr="009A1E97">
        <w:rPr>
          <w:rFonts w:ascii="Arial" w:hAnsi="Arial" w:cs="Arial"/>
          <w:sz w:val="20"/>
          <w:szCs w:val="20"/>
        </w:rPr>
        <w:t>Študija</w:t>
      </w:r>
      <w:r w:rsidR="00E106FE" w:rsidRPr="009A1E97">
        <w:rPr>
          <w:rFonts w:ascii="Arial" w:hAnsi="Arial" w:cs="Arial"/>
          <w:sz w:val="20"/>
          <w:szCs w:val="20"/>
        </w:rPr>
        <w:t>:</w:t>
      </w:r>
    </w:p>
    <w:p w:rsidR="00E106FE" w:rsidRPr="009A1E97" w:rsidRDefault="00E106FE" w:rsidP="009A1E97">
      <w:pPr>
        <w:pStyle w:val="Odstavekseznama"/>
        <w:numPr>
          <w:ilvl w:val="0"/>
          <w:numId w:val="1"/>
        </w:numPr>
        <w:rPr>
          <w:rFonts w:ascii="Arial" w:hAnsi="Arial" w:cs="Arial"/>
          <w:sz w:val="20"/>
          <w:szCs w:val="20"/>
        </w:rPr>
      </w:pPr>
      <w:hyperlink r:id="rId6" w:history="1">
        <w:r w:rsidRPr="009A1E97">
          <w:rPr>
            <w:rStyle w:val="Hiperpovezava"/>
            <w:rFonts w:ascii="Arial" w:hAnsi="Arial" w:cs="Arial"/>
            <w:sz w:val="20"/>
            <w:szCs w:val="20"/>
          </w:rPr>
          <w:t>https://ec.europa.eu/energy/sites/ener/files/documents/cepa_final_report_ener_c1_2015-394.pdf</w:t>
        </w:r>
      </w:hyperlink>
    </w:p>
    <w:p w:rsidR="00E106FE" w:rsidRPr="009A1E97" w:rsidRDefault="00E106FE" w:rsidP="009A1E97">
      <w:pPr>
        <w:rPr>
          <w:rFonts w:ascii="Arial" w:hAnsi="Arial" w:cs="Arial"/>
          <w:sz w:val="20"/>
          <w:szCs w:val="20"/>
        </w:rPr>
      </w:pPr>
      <w:r w:rsidRPr="009A1E97">
        <w:rPr>
          <w:rFonts w:ascii="Arial" w:hAnsi="Arial" w:cs="Arial"/>
          <w:sz w:val="20"/>
          <w:szCs w:val="20"/>
        </w:rPr>
        <w:t>Pripravila:</w:t>
      </w:r>
    </w:p>
    <w:p w:rsidR="00E106FE" w:rsidRPr="009A1E97" w:rsidRDefault="00E106FE" w:rsidP="009A1E97">
      <w:pPr>
        <w:rPr>
          <w:rFonts w:ascii="Arial" w:hAnsi="Arial" w:cs="Arial"/>
          <w:sz w:val="20"/>
          <w:szCs w:val="20"/>
        </w:rPr>
      </w:pPr>
      <w:r w:rsidRPr="009A1E97">
        <w:rPr>
          <w:rFonts w:ascii="Arial" w:hAnsi="Arial" w:cs="Arial"/>
          <w:sz w:val="20"/>
          <w:szCs w:val="20"/>
        </w:rPr>
        <w:t>Darja Kocbek</w:t>
      </w:r>
    </w:p>
    <w:sectPr w:rsidR="00E106FE" w:rsidRPr="009A1E97"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F17522"/>
    <w:multiLevelType w:val="hybridMultilevel"/>
    <w:tmpl w:val="CAB87B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D3736"/>
    <w:rsid w:val="002075D9"/>
    <w:rsid w:val="004D3736"/>
    <w:rsid w:val="00507ABA"/>
    <w:rsid w:val="009A1E97"/>
    <w:rsid w:val="00B459D4"/>
    <w:rsid w:val="00E106F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507AB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E106FE"/>
    <w:rPr>
      <w:color w:val="0000FF" w:themeColor="hyperlink"/>
      <w:u w:val="single"/>
    </w:rPr>
  </w:style>
  <w:style w:type="paragraph" w:styleId="Odstavekseznama">
    <w:name w:val="List Paragraph"/>
    <w:basedOn w:val="Navaden"/>
    <w:uiPriority w:val="34"/>
    <w:qFormat/>
    <w:rsid w:val="009A1E97"/>
    <w:pPr>
      <w:ind w:left="720"/>
      <w:contextualSpacing/>
    </w:pPr>
  </w:style>
  <w:style w:type="character" w:customStyle="1" w:styleId="Naslov2Znak">
    <w:name w:val="Naslov 2 Znak"/>
    <w:basedOn w:val="Privzetapisavaodstavka"/>
    <w:link w:val="Naslov2"/>
    <w:uiPriority w:val="9"/>
    <w:semiHidden/>
    <w:rsid w:val="00507ABA"/>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507ABA"/>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07A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energy/sites/ener/files/documents/cepa_final_report_ener_c1_2015-394.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296</Words>
  <Characters>1693</Characters>
  <Application>Microsoft Office Word</Application>
  <DocSecurity>0</DocSecurity>
  <Lines>14</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2017-02-14T17:00:00Z</dcterms:created>
  <dcterms:modified xsi:type="dcterms:W3CDTF">2017-02-14T17:28:00Z</dcterms:modified>
</cp:coreProperties>
</file>