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5E" w:rsidRPr="00083714" w:rsidRDefault="0074675E" w:rsidP="0074675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5E" w:rsidRDefault="0074675E" w:rsidP="0074675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4675E" w:rsidRPr="00083714" w:rsidRDefault="0074675E" w:rsidP="0074675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4675E" w:rsidRPr="00083714" w:rsidRDefault="0074675E" w:rsidP="0074675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4675E" w:rsidRDefault="0074675E" w:rsidP="0074675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</w:t>
      </w:r>
      <w:r w:rsidR="0070407E">
        <w:rPr>
          <w:b/>
        </w:rPr>
        <w:t>30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74675E" w:rsidRPr="00083714" w:rsidRDefault="0074675E" w:rsidP="0074675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22.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74675E" w:rsidRDefault="0070407E" w:rsidP="0070407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Pomoč Evropskega raziskovalnega sveta (ERC) državam, katerih raziskovalci so zmerno uspešni na razpisih</w:t>
      </w:r>
    </w:p>
    <w:p w:rsidR="008378DB" w:rsidRPr="00CC037B" w:rsidRDefault="002E7811" w:rsidP="00CC037B">
      <w:pPr>
        <w:jc w:val="both"/>
        <w:rPr>
          <w:rFonts w:ascii="Arial" w:hAnsi="Arial" w:cs="Arial"/>
          <w:b/>
          <w:i/>
        </w:rPr>
      </w:pPr>
      <w:r w:rsidRPr="00CC037B">
        <w:rPr>
          <w:rFonts w:ascii="Arial" w:hAnsi="Arial" w:cs="Arial"/>
          <w:b/>
          <w:i/>
        </w:rPr>
        <w:t>Evropski raziskovalni svet (ERC) je vzpostavil novo shemo, prek katere ponuja mentorstvo državam, ki so zmerno uspešne na razpisih ERC. Lokalne in regionalne podporne pisarne v teh državah imajo pogosto težave najti mednarodne strokovnjake za usposabljanje kandidatov za pridobitev sredstev  in svetovanje. Nova shema je bila vzpostavljena z namenom, da bodo te strokovnjake lažje našli. V ERC pravijo, da se bodo povezali z nacionalnimi kontaktnimi točkami. V Sloveniji je to Ministrstvo za izobraževanje, znanost in šport. Člani lahko dobijo več informacij tudi na SBRA.</w:t>
      </w:r>
    </w:p>
    <w:p w:rsidR="003E2A59" w:rsidRPr="00CC037B" w:rsidRDefault="003E2A59" w:rsidP="00CC037B">
      <w:pPr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>ERC ponuja pomoč tudi raziskovalcem, ki ne pridobijo njegove podpore. Prej</w:t>
      </w:r>
      <w:r w:rsidR="00EE6A3B" w:rsidRPr="00CC037B">
        <w:rPr>
          <w:rFonts w:ascii="Arial" w:hAnsi="Arial" w:cs="Arial"/>
          <w:sz w:val="20"/>
          <w:szCs w:val="20"/>
        </w:rPr>
        <w:t>e</w:t>
      </w:r>
      <w:r w:rsidRPr="00CC037B">
        <w:rPr>
          <w:rFonts w:ascii="Arial" w:hAnsi="Arial" w:cs="Arial"/>
          <w:sz w:val="20"/>
          <w:szCs w:val="20"/>
        </w:rPr>
        <w:t xml:space="preserve">mniki sredstev ERC lahko </w:t>
      </w:r>
      <w:r w:rsidR="00EE6A3B" w:rsidRPr="00CC037B">
        <w:rPr>
          <w:rFonts w:ascii="Arial" w:hAnsi="Arial" w:cs="Arial"/>
          <w:sz w:val="20"/>
          <w:szCs w:val="20"/>
        </w:rPr>
        <w:t>povabijo k sodelovanju v projektu druge raziskovalce. Skupine imajo običajno 4 do 5 članov. Nekatere evropske države financirajo sodelovanje raziskovalcev v projektih ERC z namenom, da jih usposobijo, preden se prvič prijavijo na razpis.</w:t>
      </w:r>
    </w:p>
    <w:p w:rsidR="00EE6A3B" w:rsidRPr="00CC037B" w:rsidRDefault="00EE6A3B" w:rsidP="00CC037B">
      <w:pPr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 xml:space="preserve">Projektom ERC se je mogoče pridružiti tudi na podlagi mednarodnih sporazumov z agencijami in ministrstvi za znanost </w:t>
      </w:r>
      <w:r w:rsidR="00CC037B">
        <w:rPr>
          <w:rFonts w:ascii="Arial" w:hAnsi="Arial" w:cs="Arial"/>
          <w:sz w:val="20"/>
          <w:szCs w:val="20"/>
        </w:rPr>
        <w:t xml:space="preserve"> Kitajske, Ju</w:t>
      </w:r>
      <w:r w:rsidRPr="00CC037B">
        <w:rPr>
          <w:rFonts w:ascii="Arial" w:hAnsi="Arial" w:cs="Arial"/>
          <w:sz w:val="20"/>
          <w:szCs w:val="20"/>
        </w:rPr>
        <w:t>ž</w:t>
      </w:r>
      <w:r w:rsidR="00CC037B">
        <w:rPr>
          <w:rFonts w:ascii="Arial" w:hAnsi="Arial" w:cs="Arial"/>
          <w:sz w:val="20"/>
          <w:szCs w:val="20"/>
        </w:rPr>
        <w:t>n</w:t>
      </w:r>
      <w:r w:rsidRPr="00CC037B">
        <w:rPr>
          <w:rFonts w:ascii="Arial" w:hAnsi="Arial" w:cs="Arial"/>
          <w:sz w:val="20"/>
          <w:szCs w:val="20"/>
        </w:rPr>
        <w:t>e Afrike, ZDA in drugih držav, ki podpirajo raziskovalce na začetku kariere tako, da jih vključujejo v raziskovalne skupine ERC v Evropi.</w:t>
      </w:r>
    </w:p>
    <w:p w:rsidR="00EE6A3B" w:rsidRPr="00CC037B" w:rsidRDefault="00EE6A3B" w:rsidP="00CC037B">
      <w:pPr>
        <w:jc w:val="both"/>
        <w:rPr>
          <w:rFonts w:ascii="Arial" w:hAnsi="Arial" w:cs="Arial"/>
          <w:b/>
          <w:sz w:val="20"/>
          <w:szCs w:val="20"/>
        </w:rPr>
      </w:pPr>
      <w:r w:rsidRPr="00CC037B">
        <w:rPr>
          <w:rFonts w:ascii="Arial" w:hAnsi="Arial" w:cs="Arial"/>
          <w:b/>
          <w:sz w:val="20"/>
          <w:szCs w:val="20"/>
        </w:rPr>
        <w:t>Koristne informacije:</w:t>
      </w:r>
    </w:p>
    <w:p w:rsidR="00EE6A3B" w:rsidRPr="00CC037B" w:rsidRDefault="00EE6A3B" w:rsidP="00CC037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>Smernice ERC za mentorstvo:</w:t>
      </w:r>
    </w:p>
    <w:p w:rsidR="00EE6A3B" w:rsidRPr="00CC037B" w:rsidRDefault="00EE6A3B" w:rsidP="00CC037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C037B">
          <w:rPr>
            <w:rStyle w:val="Hiperpovezava"/>
            <w:rFonts w:ascii="Arial" w:hAnsi="Arial" w:cs="Arial"/>
            <w:sz w:val="20"/>
            <w:szCs w:val="20"/>
          </w:rPr>
          <w:t>https://erc.europa.eu/sites/default/files/document/file/Guidelines_ERC_Mentoring_Initiative.pdf</w:t>
        </w:r>
      </w:hyperlink>
    </w:p>
    <w:p w:rsidR="00EE6A3B" w:rsidRPr="00CC037B" w:rsidRDefault="00EE6A3B" w:rsidP="00CC037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>Spletna stran ERC z informacijami o možnostih za pomoč raziskovalcem:</w:t>
      </w:r>
    </w:p>
    <w:p w:rsidR="00EE6A3B" w:rsidRPr="00CC037B" w:rsidRDefault="00EE6A3B" w:rsidP="00CC037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C037B">
          <w:rPr>
            <w:rStyle w:val="Hiperpovezava"/>
            <w:rFonts w:ascii="Arial" w:hAnsi="Arial" w:cs="Arial"/>
            <w:sz w:val="20"/>
            <w:szCs w:val="20"/>
          </w:rPr>
          <w:t>https://erc.europa.eu/funding/additional-opportunities</w:t>
        </w:r>
      </w:hyperlink>
    </w:p>
    <w:p w:rsidR="00EE6A3B" w:rsidRPr="00CC037B" w:rsidRDefault="00EE6A3B" w:rsidP="00CC03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>Pripravila:</w:t>
      </w:r>
    </w:p>
    <w:p w:rsidR="00EE6A3B" w:rsidRPr="00CC037B" w:rsidRDefault="00EE6A3B" w:rsidP="00CC03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037B">
        <w:rPr>
          <w:rFonts w:ascii="Arial" w:hAnsi="Arial" w:cs="Arial"/>
          <w:sz w:val="20"/>
          <w:szCs w:val="20"/>
        </w:rPr>
        <w:t>Darja Kocbek</w:t>
      </w:r>
    </w:p>
    <w:sectPr w:rsidR="00EE6A3B" w:rsidRPr="00CC037B" w:rsidSect="0083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6F8"/>
    <w:multiLevelType w:val="hybridMultilevel"/>
    <w:tmpl w:val="C8088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811"/>
    <w:rsid w:val="002E7811"/>
    <w:rsid w:val="003E2A59"/>
    <w:rsid w:val="0070407E"/>
    <w:rsid w:val="0074675E"/>
    <w:rsid w:val="008378DB"/>
    <w:rsid w:val="00CC037B"/>
    <w:rsid w:val="00EE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78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6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6A3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C037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46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c.europa.eu/funding/additional-opportun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.europa.eu/sites/default/files/document/file/Guidelines_ERC_Mentoring_Initiativ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2021-02-17T13:40:00Z</dcterms:created>
  <dcterms:modified xsi:type="dcterms:W3CDTF">2021-02-17T14:02:00Z</dcterms:modified>
</cp:coreProperties>
</file>