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BE" w:rsidRPr="00467345" w:rsidRDefault="00C33BBE" w:rsidP="00C33BBE">
      <w:pPr>
        <w:tabs>
          <w:tab w:val="left" w:pos="2520"/>
          <w:tab w:val="left" w:pos="2700"/>
          <w:tab w:val="left" w:pos="3120"/>
        </w:tabs>
        <w:spacing w:before="240" w:after="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33BBE" w:rsidRPr="00301C78" w:rsidRDefault="00C33BBE" w:rsidP="00C33BBE">
      <w:pPr>
        <w:pStyle w:val="Naslov2"/>
        <w:tabs>
          <w:tab w:val="left" w:pos="3120"/>
        </w:tabs>
        <w:spacing w:before="0" w:after="240" w:afterAutospacing="0"/>
        <w:jc w:val="center"/>
        <w:rPr>
          <w:sz w:val="22"/>
        </w:rPr>
      </w:pPr>
      <w:r w:rsidRPr="00083714">
        <w:rPr>
          <w:sz w:val="22"/>
        </w:rPr>
        <w:t>Slovensko gospodarsko in raziskovalno združenje, Bruselj</w:t>
      </w:r>
    </w:p>
    <w:p w:rsidR="00C33BBE" w:rsidRPr="00083714" w:rsidRDefault="00C33BBE" w:rsidP="00C33BBE">
      <w:pPr>
        <w:pBdr>
          <w:bottom w:val="single" w:sz="6" w:space="1" w:color="auto"/>
        </w:pBdr>
        <w:tabs>
          <w:tab w:val="left" w:pos="3120"/>
        </w:tabs>
        <w:spacing w:after="240"/>
        <w:rPr>
          <w:sz w:val="16"/>
          <w:szCs w:val="16"/>
        </w:rPr>
      </w:pPr>
    </w:p>
    <w:p w:rsidR="00C33BBE" w:rsidRDefault="00C33BBE" w:rsidP="00C33BBE">
      <w:pPr>
        <w:tabs>
          <w:tab w:val="left" w:pos="3120"/>
        </w:tabs>
        <w:spacing w:after="240"/>
        <w:rPr>
          <w:b/>
        </w:rPr>
      </w:pPr>
      <w:r w:rsidRPr="00083714">
        <w:rPr>
          <w:b/>
        </w:rPr>
        <w:tab/>
      </w:r>
      <w:r>
        <w:rPr>
          <w:b/>
        </w:rPr>
        <w:t xml:space="preserve">Občasna informacija članom 30 </w:t>
      </w:r>
      <w:r w:rsidRPr="00083714">
        <w:rPr>
          <w:b/>
        </w:rPr>
        <w:t>– 20</w:t>
      </w:r>
      <w:r>
        <w:rPr>
          <w:b/>
        </w:rPr>
        <w:t>23</w:t>
      </w:r>
    </w:p>
    <w:p w:rsidR="00C33BBE" w:rsidRDefault="00C33BBE" w:rsidP="00C33BBE">
      <w:pPr>
        <w:tabs>
          <w:tab w:val="left" w:pos="3120"/>
        </w:tabs>
        <w:spacing w:after="240"/>
        <w:jc w:val="center"/>
        <w:rPr>
          <w:b/>
        </w:rPr>
      </w:pPr>
      <w:r>
        <w:rPr>
          <w:b/>
        </w:rPr>
        <w:t xml:space="preserve">20. februar </w:t>
      </w:r>
      <w:r w:rsidRPr="00083714">
        <w:rPr>
          <w:b/>
        </w:rPr>
        <w:t xml:space="preserve"> 20</w:t>
      </w:r>
      <w:r>
        <w:rPr>
          <w:b/>
        </w:rPr>
        <w:t>23</w:t>
      </w:r>
    </w:p>
    <w:p w:rsidR="00C33BBE" w:rsidRDefault="00C33BBE" w:rsidP="00C33BBE">
      <w:pPr>
        <w:jc w:val="center"/>
        <w:rPr>
          <w:rFonts w:ascii="Arial" w:hAnsi="Arial" w:cs="Arial"/>
          <w:b/>
          <w:i/>
        </w:rPr>
      </w:pPr>
      <w:r>
        <w:rPr>
          <w:b/>
          <w:color w:val="993300"/>
          <w:sz w:val="32"/>
          <w:szCs w:val="32"/>
        </w:rPr>
        <w:t xml:space="preserve">Evropska komisija je sprejela </w:t>
      </w:r>
      <w:r w:rsidR="00A8753D">
        <w:rPr>
          <w:b/>
          <w:color w:val="993300"/>
          <w:sz w:val="32"/>
          <w:szCs w:val="32"/>
        </w:rPr>
        <w:t>d</w:t>
      </w:r>
      <w:r>
        <w:rPr>
          <w:b/>
          <w:color w:val="993300"/>
          <w:sz w:val="32"/>
          <w:szCs w:val="32"/>
        </w:rPr>
        <w:t>elegirana akta s pravili za opredelitev obnovljivega vodika v EU</w:t>
      </w:r>
    </w:p>
    <w:p w:rsidR="00F04779" w:rsidRPr="002218F5" w:rsidRDefault="00D27152" w:rsidP="002218F5">
      <w:pPr>
        <w:jc w:val="both"/>
        <w:rPr>
          <w:rFonts w:ascii="Arial" w:hAnsi="Arial" w:cs="Arial"/>
          <w:b/>
          <w:i/>
        </w:rPr>
      </w:pPr>
      <w:r w:rsidRPr="002218F5">
        <w:rPr>
          <w:rFonts w:ascii="Arial" w:hAnsi="Arial" w:cs="Arial"/>
          <w:b/>
          <w:i/>
        </w:rPr>
        <w:t>Evropska komisija je s sprejetjem dveh delegiranih aktov predlagala pravila za opredelitev obnovljivega vodika v EU. Prvi delegirani akt določa, pod katerimi pogoji se lahko vodik, goriva na osnovi vodika ali drugi nosilci energije štejejo za goriva iz obnovljivih virov nebiološkega izvora. Drugi delegirani akt pa določa metodologijo za izračun izpustov toplogrednih plinov v življenjskem ciklu goriv iz obnovljivih virov nebiološkega izvora.</w:t>
      </w:r>
      <w:r w:rsidR="001625BA" w:rsidRPr="002218F5">
        <w:rPr>
          <w:rFonts w:ascii="Arial" w:hAnsi="Arial" w:cs="Arial"/>
          <w:b/>
          <w:i/>
        </w:rPr>
        <w:t xml:space="preserve"> Evropska komisija je ob sprejemu obeh aktov spomnila na projekte skupnega evropskega interesa prek katerih podpira sektor vodika. Člani lahko dobijo več informacij na SBRA.</w:t>
      </w:r>
    </w:p>
    <w:p w:rsidR="00D27152" w:rsidRPr="002218F5" w:rsidRDefault="00D27152" w:rsidP="002218F5">
      <w:pPr>
        <w:jc w:val="both"/>
        <w:rPr>
          <w:rFonts w:ascii="Arial" w:hAnsi="Arial" w:cs="Arial"/>
          <w:b/>
          <w:sz w:val="20"/>
          <w:szCs w:val="20"/>
        </w:rPr>
      </w:pPr>
      <w:r w:rsidRPr="002218F5">
        <w:rPr>
          <w:rFonts w:ascii="Arial" w:hAnsi="Arial" w:cs="Arial"/>
          <w:b/>
          <w:sz w:val="20"/>
          <w:szCs w:val="20"/>
        </w:rPr>
        <w:t>Delegirani akt o tekočih in plinastih gorivih iz obnovljivih virov nebiološkega izvora, namenjenih uporabi v prometu</w:t>
      </w:r>
    </w:p>
    <w:p w:rsidR="00D27152" w:rsidRPr="002218F5" w:rsidRDefault="00D27152" w:rsidP="002218F5">
      <w:pPr>
        <w:jc w:val="both"/>
        <w:rPr>
          <w:rFonts w:ascii="Arial" w:hAnsi="Arial" w:cs="Arial"/>
          <w:sz w:val="20"/>
          <w:szCs w:val="20"/>
        </w:rPr>
      </w:pPr>
      <w:r w:rsidRPr="002218F5">
        <w:rPr>
          <w:rFonts w:ascii="Arial" w:hAnsi="Arial" w:cs="Arial"/>
          <w:sz w:val="20"/>
          <w:szCs w:val="20"/>
        </w:rPr>
        <w:t>V tem delegiranem aktu Evropska komisija pojasnjuje načelo »</w:t>
      </w:r>
      <w:proofErr w:type="spellStart"/>
      <w:r w:rsidRPr="002218F5">
        <w:rPr>
          <w:rFonts w:ascii="Arial" w:hAnsi="Arial" w:cs="Arial"/>
          <w:sz w:val="20"/>
          <w:szCs w:val="20"/>
        </w:rPr>
        <w:t>dodatnosti</w:t>
      </w:r>
      <w:proofErr w:type="spellEnd"/>
      <w:r w:rsidRPr="002218F5">
        <w:rPr>
          <w:rFonts w:ascii="Arial" w:hAnsi="Arial" w:cs="Arial"/>
          <w:sz w:val="20"/>
          <w:szCs w:val="20"/>
        </w:rPr>
        <w:t>« za vodik iz direktive o energiji iz obnovljivih virov. Namen tega načela je zagotoviti, da proizvodnja obnovljivega vodika spodbuja povečanje količine energije iz obnovljivih virov, ki je na voljo v omrežju, v primerjavi z obstoječo količino.</w:t>
      </w:r>
    </w:p>
    <w:p w:rsidR="00D27152" w:rsidRPr="002218F5" w:rsidRDefault="00D27152" w:rsidP="002218F5">
      <w:pPr>
        <w:jc w:val="both"/>
        <w:rPr>
          <w:rFonts w:ascii="Arial" w:hAnsi="Arial" w:cs="Arial"/>
          <w:sz w:val="20"/>
          <w:szCs w:val="20"/>
        </w:rPr>
      </w:pPr>
      <w:r w:rsidRPr="002218F5">
        <w:rPr>
          <w:rFonts w:ascii="Arial" w:hAnsi="Arial" w:cs="Arial"/>
          <w:sz w:val="20"/>
          <w:szCs w:val="20"/>
        </w:rPr>
        <w:t xml:space="preserve">Delegirani akt določa različne načine, kako lahko proizvajalci dokažejo, da je električna energija iz obnovljivih virov, ki se uporablja za proizvodnjo vodika, skladna s pravili o </w:t>
      </w:r>
      <w:proofErr w:type="spellStart"/>
      <w:r w:rsidRPr="002218F5">
        <w:rPr>
          <w:rFonts w:ascii="Arial" w:hAnsi="Arial" w:cs="Arial"/>
          <w:sz w:val="20"/>
          <w:szCs w:val="20"/>
        </w:rPr>
        <w:t>dodatnosti</w:t>
      </w:r>
      <w:proofErr w:type="spellEnd"/>
      <w:r w:rsidRPr="002218F5">
        <w:rPr>
          <w:rFonts w:ascii="Arial" w:hAnsi="Arial" w:cs="Arial"/>
          <w:sz w:val="20"/>
          <w:szCs w:val="20"/>
        </w:rPr>
        <w:t>. Poleg tega uvaja merila za zagotovitev, da se obnovljivi vodik proizvaja le, če in kjer je na voljo dovolj energije iz obnovljivih virov.</w:t>
      </w:r>
    </w:p>
    <w:p w:rsidR="00D27152" w:rsidRPr="002218F5" w:rsidRDefault="00D27152" w:rsidP="002218F5">
      <w:pPr>
        <w:jc w:val="both"/>
        <w:rPr>
          <w:rFonts w:ascii="Arial" w:hAnsi="Arial" w:cs="Arial"/>
          <w:sz w:val="20"/>
          <w:szCs w:val="20"/>
        </w:rPr>
      </w:pPr>
      <w:r w:rsidRPr="002218F5">
        <w:rPr>
          <w:rFonts w:ascii="Arial" w:hAnsi="Arial" w:cs="Arial"/>
          <w:sz w:val="20"/>
          <w:szCs w:val="20"/>
        </w:rPr>
        <w:t>Predvideno je postopno uvajanje zahtev glede »</w:t>
      </w:r>
      <w:proofErr w:type="spellStart"/>
      <w:r w:rsidRPr="002218F5">
        <w:rPr>
          <w:rFonts w:ascii="Arial" w:hAnsi="Arial" w:cs="Arial"/>
          <w:sz w:val="20"/>
          <w:szCs w:val="20"/>
        </w:rPr>
        <w:t>dodatnosti</w:t>
      </w:r>
      <w:proofErr w:type="spellEnd"/>
      <w:r w:rsidRPr="002218F5">
        <w:rPr>
          <w:rFonts w:ascii="Arial" w:hAnsi="Arial" w:cs="Arial"/>
          <w:sz w:val="20"/>
          <w:szCs w:val="20"/>
        </w:rPr>
        <w:t>« za projekte na področju vodika, ki se bodo začeli pred 1. januarjem 2028.</w:t>
      </w:r>
    </w:p>
    <w:p w:rsidR="00D27152" w:rsidRPr="00CC081B" w:rsidRDefault="00D27152" w:rsidP="002218F5">
      <w:pPr>
        <w:jc w:val="both"/>
        <w:rPr>
          <w:rFonts w:ascii="Arial" w:hAnsi="Arial" w:cs="Arial"/>
          <w:b/>
          <w:sz w:val="20"/>
          <w:szCs w:val="20"/>
        </w:rPr>
      </w:pPr>
      <w:r w:rsidRPr="00CC081B">
        <w:rPr>
          <w:rFonts w:ascii="Arial" w:hAnsi="Arial" w:cs="Arial"/>
          <w:b/>
          <w:sz w:val="20"/>
          <w:szCs w:val="20"/>
        </w:rPr>
        <w:t>Delegirani akt o prihrankih emisij toplogrednih plinov</w:t>
      </w:r>
    </w:p>
    <w:p w:rsidR="00D27152" w:rsidRPr="002218F5" w:rsidRDefault="00D27152" w:rsidP="002218F5">
      <w:pPr>
        <w:jc w:val="both"/>
        <w:rPr>
          <w:rFonts w:ascii="Arial" w:hAnsi="Arial" w:cs="Arial"/>
          <w:sz w:val="20"/>
          <w:szCs w:val="20"/>
        </w:rPr>
      </w:pPr>
      <w:r w:rsidRPr="002218F5">
        <w:rPr>
          <w:rFonts w:ascii="Arial" w:hAnsi="Arial" w:cs="Arial"/>
          <w:sz w:val="20"/>
          <w:szCs w:val="20"/>
        </w:rPr>
        <w:t xml:space="preserve">Metodologija, ki jo Evropska komisija predlaga v tem aktu, upošteva izpuste toplogrednih plinov v celotnem življenjskem ciklu goriv. Metodologija pojasnjuje tudi, kako izračunati izpuste toplogrednih plinov obnovljivega vodika ali njegovih derivatov, če je proizveden kot </w:t>
      </w:r>
      <w:proofErr w:type="spellStart"/>
      <w:r w:rsidRPr="002218F5">
        <w:rPr>
          <w:rFonts w:ascii="Arial" w:hAnsi="Arial" w:cs="Arial"/>
          <w:sz w:val="20"/>
          <w:szCs w:val="20"/>
        </w:rPr>
        <w:t>soproizvod</w:t>
      </w:r>
      <w:proofErr w:type="spellEnd"/>
      <w:r w:rsidRPr="002218F5">
        <w:rPr>
          <w:rFonts w:ascii="Arial" w:hAnsi="Arial" w:cs="Arial"/>
          <w:sz w:val="20"/>
          <w:szCs w:val="20"/>
        </w:rPr>
        <w:t xml:space="preserve"> v obratu, v katerem se proizvajajo fosilna goriva.</w:t>
      </w:r>
    </w:p>
    <w:p w:rsidR="00C33BBE" w:rsidRDefault="00C33BBE" w:rsidP="002218F5">
      <w:pPr>
        <w:jc w:val="both"/>
        <w:rPr>
          <w:rFonts w:ascii="Arial" w:hAnsi="Arial" w:cs="Arial"/>
          <w:b/>
          <w:sz w:val="20"/>
          <w:szCs w:val="20"/>
        </w:rPr>
      </w:pPr>
    </w:p>
    <w:p w:rsidR="001625BA" w:rsidRPr="00CC081B" w:rsidRDefault="001625BA" w:rsidP="002218F5">
      <w:pPr>
        <w:jc w:val="both"/>
        <w:rPr>
          <w:rFonts w:ascii="Arial" w:hAnsi="Arial" w:cs="Arial"/>
          <w:b/>
          <w:sz w:val="20"/>
          <w:szCs w:val="20"/>
        </w:rPr>
      </w:pPr>
      <w:r w:rsidRPr="00CC081B">
        <w:rPr>
          <w:rFonts w:ascii="Arial" w:hAnsi="Arial" w:cs="Arial"/>
          <w:b/>
          <w:sz w:val="20"/>
          <w:szCs w:val="20"/>
        </w:rPr>
        <w:lastRenderedPageBreak/>
        <w:t>P</w:t>
      </w:r>
      <w:r w:rsidR="00D27152" w:rsidRPr="00CC081B">
        <w:rPr>
          <w:rFonts w:ascii="Arial" w:hAnsi="Arial" w:cs="Arial"/>
          <w:b/>
          <w:sz w:val="20"/>
          <w:szCs w:val="20"/>
        </w:rPr>
        <w:t>rojekt</w:t>
      </w:r>
      <w:r w:rsidR="00CC081B">
        <w:rPr>
          <w:rFonts w:ascii="Arial" w:hAnsi="Arial" w:cs="Arial"/>
          <w:b/>
          <w:sz w:val="20"/>
          <w:szCs w:val="20"/>
        </w:rPr>
        <w:t>a</w:t>
      </w:r>
      <w:r w:rsidR="00D27152" w:rsidRPr="00CC081B">
        <w:rPr>
          <w:rFonts w:ascii="Arial" w:hAnsi="Arial" w:cs="Arial"/>
          <w:b/>
          <w:sz w:val="20"/>
          <w:szCs w:val="20"/>
        </w:rPr>
        <w:t xml:space="preserve"> skupnega evropskega interesa</w:t>
      </w:r>
      <w:r w:rsidRPr="00CC081B">
        <w:rPr>
          <w:rFonts w:ascii="Arial" w:hAnsi="Arial" w:cs="Arial"/>
          <w:b/>
          <w:sz w:val="20"/>
          <w:szCs w:val="20"/>
        </w:rPr>
        <w:t xml:space="preserve"> </w:t>
      </w:r>
    </w:p>
    <w:p w:rsidR="001625BA" w:rsidRPr="002218F5" w:rsidRDefault="001625BA" w:rsidP="002218F5">
      <w:pPr>
        <w:jc w:val="both"/>
        <w:rPr>
          <w:rFonts w:ascii="Arial" w:hAnsi="Arial" w:cs="Arial"/>
          <w:sz w:val="20"/>
          <w:szCs w:val="20"/>
        </w:rPr>
      </w:pPr>
      <w:r w:rsidRPr="002218F5">
        <w:rPr>
          <w:rFonts w:ascii="Arial" w:hAnsi="Arial" w:cs="Arial"/>
          <w:sz w:val="20"/>
          <w:szCs w:val="20"/>
        </w:rPr>
        <w:t>P</w:t>
      </w:r>
      <w:r w:rsidR="00D27152" w:rsidRPr="002218F5">
        <w:rPr>
          <w:rFonts w:ascii="Arial" w:hAnsi="Arial" w:cs="Arial"/>
          <w:sz w:val="20"/>
          <w:szCs w:val="20"/>
        </w:rPr>
        <w:t>rojekt</w:t>
      </w:r>
      <w:r w:rsidRPr="002218F5">
        <w:rPr>
          <w:rFonts w:ascii="Arial" w:hAnsi="Arial" w:cs="Arial"/>
          <w:sz w:val="20"/>
          <w:szCs w:val="20"/>
        </w:rPr>
        <w:t xml:space="preserve"> </w:t>
      </w:r>
      <w:r w:rsidR="00D27152" w:rsidRPr="00CC081B">
        <w:rPr>
          <w:rFonts w:ascii="Arial" w:hAnsi="Arial" w:cs="Arial"/>
          <w:b/>
          <w:sz w:val="20"/>
          <w:szCs w:val="20"/>
        </w:rPr>
        <w:t>IPCEI Hy2Tech</w:t>
      </w:r>
      <w:r w:rsidRPr="002218F5">
        <w:rPr>
          <w:rFonts w:ascii="Arial" w:hAnsi="Arial" w:cs="Arial"/>
          <w:sz w:val="20"/>
          <w:szCs w:val="20"/>
        </w:rPr>
        <w:t xml:space="preserve"> </w:t>
      </w:r>
      <w:r w:rsidR="00D27152" w:rsidRPr="002218F5">
        <w:rPr>
          <w:rFonts w:ascii="Arial" w:hAnsi="Arial" w:cs="Arial"/>
          <w:sz w:val="20"/>
          <w:szCs w:val="20"/>
        </w:rPr>
        <w:t xml:space="preserve">vključuje 41 projektov, njegov cilj je razviti inovativne tehnologije za vrednostno verigo vodika, da bi </w:t>
      </w:r>
      <w:proofErr w:type="spellStart"/>
      <w:r w:rsidR="00D27152" w:rsidRPr="002218F5">
        <w:rPr>
          <w:rFonts w:ascii="Arial" w:hAnsi="Arial" w:cs="Arial"/>
          <w:sz w:val="20"/>
          <w:szCs w:val="20"/>
        </w:rPr>
        <w:t>razogljičili</w:t>
      </w:r>
      <w:proofErr w:type="spellEnd"/>
      <w:r w:rsidR="00D27152" w:rsidRPr="002218F5">
        <w:rPr>
          <w:rFonts w:ascii="Arial" w:hAnsi="Arial" w:cs="Arial"/>
          <w:sz w:val="20"/>
          <w:szCs w:val="20"/>
        </w:rPr>
        <w:t xml:space="preserve"> industrijske procese in sektor mobilnosti, pri tem pa se osredotočili na končne uporabnike. </w:t>
      </w:r>
    </w:p>
    <w:p w:rsidR="00D27152" w:rsidRPr="002218F5" w:rsidRDefault="001625BA" w:rsidP="002218F5">
      <w:pPr>
        <w:jc w:val="both"/>
        <w:rPr>
          <w:rFonts w:ascii="Arial" w:hAnsi="Arial" w:cs="Arial"/>
          <w:sz w:val="20"/>
          <w:szCs w:val="20"/>
        </w:rPr>
      </w:pPr>
      <w:r w:rsidRPr="002218F5">
        <w:rPr>
          <w:rFonts w:ascii="Arial" w:hAnsi="Arial" w:cs="Arial"/>
          <w:sz w:val="20"/>
          <w:szCs w:val="20"/>
        </w:rPr>
        <w:t>P</w:t>
      </w:r>
      <w:r w:rsidR="00D27152" w:rsidRPr="002218F5">
        <w:rPr>
          <w:rFonts w:ascii="Arial" w:hAnsi="Arial" w:cs="Arial"/>
          <w:sz w:val="20"/>
          <w:szCs w:val="20"/>
        </w:rPr>
        <w:t xml:space="preserve">rojekt </w:t>
      </w:r>
      <w:r w:rsidRPr="002218F5">
        <w:rPr>
          <w:rFonts w:ascii="Arial" w:hAnsi="Arial" w:cs="Arial"/>
          <w:sz w:val="20"/>
          <w:szCs w:val="20"/>
        </w:rPr>
        <w:t xml:space="preserve"> </w:t>
      </w:r>
      <w:r w:rsidR="00D27152" w:rsidRPr="00CC081B">
        <w:rPr>
          <w:rFonts w:ascii="Arial" w:hAnsi="Arial" w:cs="Arial"/>
          <w:b/>
          <w:sz w:val="20"/>
          <w:szCs w:val="20"/>
        </w:rPr>
        <w:t>IPCEI Hy2Use</w:t>
      </w:r>
      <w:r w:rsidRPr="002218F5">
        <w:rPr>
          <w:rFonts w:ascii="Arial" w:hAnsi="Arial" w:cs="Arial"/>
          <w:sz w:val="20"/>
          <w:szCs w:val="20"/>
        </w:rPr>
        <w:t xml:space="preserve"> </w:t>
      </w:r>
      <w:r w:rsidR="00D27152" w:rsidRPr="002218F5">
        <w:rPr>
          <w:rFonts w:ascii="Arial" w:hAnsi="Arial" w:cs="Arial"/>
          <w:sz w:val="20"/>
          <w:szCs w:val="20"/>
        </w:rPr>
        <w:t>dopolnjuje IPCEI Hy2Tech in bo podpiral izgradnjo infrastrukture, povezane z vodikom, ter razvoj inovativnih in bolj trajnostnih tehnologij za vključevanje vodika v industrijski sektor.</w:t>
      </w:r>
    </w:p>
    <w:p w:rsidR="00D27152" w:rsidRPr="00CC081B" w:rsidRDefault="00D27152" w:rsidP="002218F5">
      <w:pPr>
        <w:jc w:val="both"/>
        <w:rPr>
          <w:rFonts w:ascii="Arial" w:hAnsi="Arial" w:cs="Arial"/>
          <w:b/>
          <w:sz w:val="20"/>
          <w:szCs w:val="20"/>
        </w:rPr>
      </w:pPr>
      <w:r w:rsidRPr="00CC081B">
        <w:rPr>
          <w:rFonts w:ascii="Arial" w:hAnsi="Arial" w:cs="Arial"/>
          <w:b/>
          <w:sz w:val="20"/>
          <w:szCs w:val="20"/>
        </w:rPr>
        <w:t>Koristne informacije:</w:t>
      </w:r>
    </w:p>
    <w:p w:rsidR="00D27152" w:rsidRPr="00CC081B" w:rsidRDefault="001625BA" w:rsidP="00CC081B">
      <w:pPr>
        <w:pStyle w:val="Odstavekseznama"/>
        <w:numPr>
          <w:ilvl w:val="0"/>
          <w:numId w:val="1"/>
        </w:numPr>
        <w:jc w:val="both"/>
        <w:rPr>
          <w:rFonts w:ascii="Arial" w:hAnsi="Arial" w:cs="Arial"/>
          <w:sz w:val="20"/>
          <w:szCs w:val="20"/>
        </w:rPr>
      </w:pPr>
      <w:r w:rsidRPr="00CC081B">
        <w:rPr>
          <w:rFonts w:ascii="Arial" w:hAnsi="Arial" w:cs="Arial"/>
          <w:sz w:val="20"/>
          <w:szCs w:val="20"/>
        </w:rPr>
        <w:t>Delegirani akt o tekočih in plinastih gorivih iz obnovljivih virov nebiološkega izvora, namenjenih uporabi v prometu:</w:t>
      </w:r>
    </w:p>
    <w:p w:rsidR="001625BA" w:rsidRPr="00CC081B" w:rsidRDefault="001625BA" w:rsidP="00CC081B">
      <w:pPr>
        <w:pStyle w:val="Odstavekseznama"/>
        <w:numPr>
          <w:ilvl w:val="0"/>
          <w:numId w:val="1"/>
        </w:numPr>
        <w:jc w:val="both"/>
        <w:rPr>
          <w:rFonts w:ascii="Arial" w:hAnsi="Arial" w:cs="Arial"/>
          <w:sz w:val="20"/>
          <w:szCs w:val="20"/>
        </w:rPr>
      </w:pPr>
      <w:hyperlink r:id="rId6" w:history="1">
        <w:r w:rsidRPr="00CC081B">
          <w:rPr>
            <w:rStyle w:val="Hiperpovezava"/>
            <w:rFonts w:ascii="Arial" w:hAnsi="Arial" w:cs="Arial"/>
            <w:sz w:val="20"/>
            <w:szCs w:val="20"/>
          </w:rPr>
          <w:t>https://energy.ec.europa.eu/delegated-regulation-union-methodology-rnfbos_sl</w:t>
        </w:r>
      </w:hyperlink>
    </w:p>
    <w:p w:rsidR="001625BA" w:rsidRPr="00CC081B" w:rsidRDefault="001625BA" w:rsidP="00CC081B">
      <w:pPr>
        <w:pStyle w:val="Odstavekseznama"/>
        <w:numPr>
          <w:ilvl w:val="0"/>
          <w:numId w:val="1"/>
        </w:numPr>
        <w:jc w:val="both"/>
        <w:rPr>
          <w:rFonts w:ascii="Arial" w:hAnsi="Arial" w:cs="Arial"/>
          <w:sz w:val="20"/>
          <w:szCs w:val="20"/>
        </w:rPr>
      </w:pPr>
      <w:r w:rsidRPr="00CC081B">
        <w:rPr>
          <w:rFonts w:ascii="Arial" w:hAnsi="Arial" w:cs="Arial"/>
          <w:sz w:val="20"/>
          <w:szCs w:val="20"/>
        </w:rPr>
        <w:t>Delegirani akt o prihrankih emisij toplogrednih plinov:</w:t>
      </w:r>
    </w:p>
    <w:p w:rsidR="001625BA" w:rsidRPr="00CC081B" w:rsidRDefault="001625BA" w:rsidP="00CC081B">
      <w:pPr>
        <w:pStyle w:val="Odstavekseznama"/>
        <w:numPr>
          <w:ilvl w:val="0"/>
          <w:numId w:val="1"/>
        </w:numPr>
        <w:jc w:val="both"/>
        <w:rPr>
          <w:rFonts w:ascii="Arial" w:hAnsi="Arial" w:cs="Arial"/>
          <w:sz w:val="20"/>
          <w:szCs w:val="20"/>
        </w:rPr>
      </w:pPr>
      <w:hyperlink r:id="rId7" w:history="1">
        <w:r w:rsidRPr="00CC081B">
          <w:rPr>
            <w:rStyle w:val="Hiperpovezava"/>
            <w:rFonts w:ascii="Arial" w:hAnsi="Arial" w:cs="Arial"/>
            <w:sz w:val="20"/>
            <w:szCs w:val="20"/>
          </w:rPr>
          <w:t>https://energy.ec.europa.eu/delegated-regulation-minimum-threshold-ghg-savings-recycled-carbon-fuels-and-annex_sl</w:t>
        </w:r>
      </w:hyperlink>
    </w:p>
    <w:p w:rsidR="001625BA" w:rsidRPr="00CC081B" w:rsidRDefault="001625BA" w:rsidP="00CC081B">
      <w:pPr>
        <w:pStyle w:val="Odstavekseznama"/>
        <w:numPr>
          <w:ilvl w:val="0"/>
          <w:numId w:val="1"/>
        </w:numPr>
        <w:jc w:val="both"/>
        <w:rPr>
          <w:rFonts w:ascii="Arial" w:hAnsi="Arial" w:cs="Arial"/>
          <w:sz w:val="20"/>
          <w:szCs w:val="20"/>
        </w:rPr>
      </w:pPr>
      <w:r w:rsidRPr="00CC081B">
        <w:rPr>
          <w:rFonts w:ascii="Arial" w:hAnsi="Arial" w:cs="Arial"/>
          <w:sz w:val="20"/>
          <w:szCs w:val="20"/>
        </w:rPr>
        <w:t>Pojasnila Evropske komisije o projektu IPCEI Hy2Tech:</w:t>
      </w:r>
    </w:p>
    <w:p w:rsidR="001625BA" w:rsidRPr="00CC081B" w:rsidRDefault="001625BA" w:rsidP="00CC081B">
      <w:pPr>
        <w:pStyle w:val="Odstavekseznama"/>
        <w:numPr>
          <w:ilvl w:val="0"/>
          <w:numId w:val="1"/>
        </w:numPr>
        <w:jc w:val="both"/>
        <w:rPr>
          <w:rFonts w:ascii="Arial" w:hAnsi="Arial" w:cs="Arial"/>
          <w:sz w:val="20"/>
          <w:szCs w:val="20"/>
        </w:rPr>
      </w:pPr>
      <w:hyperlink r:id="rId8" w:history="1">
        <w:r w:rsidRPr="00CC081B">
          <w:rPr>
            <w:rStyle w:val="Hiperpovezava"/>
            <w:rFonts w:ascii="Arial" w:hAnsi="Arial" w:cs="Arial"/>
            <w:sz w:val="20"/>
            <w:szCs w:val="20"/>
          </w:rPr>
          <w:t>https://ec.europa.eu/commission/presscorner/detail/en%5E/ip_22_4544</w:t>
        </w:r>
      </w:hyperlink>
    </w:p>
    <w:p w:rsidR="001625BA" w:rsidRPr="00CC081B" w:rsidRDefault="001625BA" w:rsidP="00CC081B">
      <w:pPr>
        <w:pStyle w:val="Odstavekseznama"/>
        <w:numPr>
          <w:ilvl w:val="0"/>
          <w:numId w:val="1"/>
        </w:numPr>
        <w:jc w:val="both"/>
        <w:rPr>
          <w:rFonts w:ascii="Arial" w:hAnsi="Arial" w:cs="Arial"/>
          <w:sz w:val="20"/>
          <w:szCs w:val="20"/>
        </w:rPr>
      </w:pPr>
      <w:r w:rsidRPr="00CC081B">
        <w:rPr>
          <w:rFonts w:ascii="Arial" w:hAnsi="Arial" w:cs="Arial"/>
          <w:sz w:val="20"/>
          <w:szCs w:val="20"/>
        </w:rPr>
        <w:t>Pojasnila Evropske komisije o projektu IPCEI Hy2Use:</w:t>
      </w:r>
    </w:p>
    <w:p w:rsidR="001625BA" w:rsidRDefault="001625BA" w:rsidP="00CC081B">
      <w:pPr>
        <w:pStyle w:val="Odstavekseznama"/>
        <w:numPr>
          <w:ilvl w:val="0"/>
          <w:numId w:val="1"/>
        </w:numPr>
        <w:jc w:val="both"/>
        <w:rPr>
          <w:rFonts w:ascii="Arial" w:hAnsi="Arial" w:cs="Arial"/>
          <w:sz w:val="20"/>
          <w:szCs w:val="20"/>
        </w:rPr>
      </w:pPr>
      <w:hyperlink r:id="rId9" w:history="1">
        <w:r w:rsidRPr="00CC081B">
          <w:rPr>
            <w:rStyle w:val="Hiperpovezava"/>
            <w:rFonts w:ascii="Arial" w:hAnsi="Arial" w:cs="Arial"/>
            <w:sz w:val="20"/>
            <w:szCs w:val="20"/>
          </w:rPr>
          <w:t>https://ec.europa.eu/commission/presscorner/detail/sl/ip_22_5676</w:t>
        </w:r>
      </w:hyperlink>
    </w:p>
    <w:p w:rsidR="00CC081B" w:rsidRDefault="00CC081B" w:rsidP="00CC081B">
      <w:pPr>
        <w:pStyle w:val="Odstavekseznama"/>
        <w:numPr>
          <w:ilvl w:val="0"/>
          <w:numId w:val="1"/>
        </w:numPr>
        <w:jc w:val="both"/>
        <w:rPr>
          <w:rFonts w:ascii="Arial" w:hAnsi="Arial" w:cs="Arial"/>
          <w:sz w:val="20"/>
          <w:szCs w:val="20"/>
        </w:rPr>
      </w:pPr>
      <w:r>
        <w:rPr>
          <w:rFonts w:ascii="Arial" w:hAnsi="Arial" w:cs="Arial"/>
          <w:sz w:val="20"/>
          <w:szCs w:val="20"/>
        </w:rPr>
        <w:t>Spletna stran z informacijami o vodiku:</w:t>
      </w:r>
    </w:p>
    <w:p w:rsidR="00CC081B" w:rsidRPr="00CC081B" w:rsidRDefault="00CC081B" w:rsidP="00CC081B">
      <w:pPr>
        <w:pStyle w:val="Odstavekseznama"/>
        <w:numPr>
          <w:ilvl w:val="0"/>
          <w:numId w:val="1"/>
        </w:numPr>
        <w:jc w:val="both"/>
        <w:rPr>
          <w:rFonts w:ascii="Arial" w:hAnsi="Arial" w:cs="Arial"/>
          <w:sz w:val="20"/>
          <w:szCs w:val="20"/>
        </w:rPr>
      </w:pPr>
      <w:hyperlink r:id="rId10" w:history="1">
        <w:r w:rsidRPr="00525030">
          <w:rPr>
            <w:rStyle w:val="Hiperpovezava"/>
            <w:rFonts w:ascii="Arial" w:hAnsi="Arial" w:cs="Arial"/>
            <w:sz w:val="20"/>
            <w:szCs w:val="20"/>
          </w:rPr>
          <w:t>https://energy.ec.europa.eu/topics/energy-systems-integration/hydrogen_sl</w:t>
        </w:r>
      </w:hyperlink>
      <w:r>
        <w:rPr>
          <w:rFonts w:ascii="Arial" w:hAnsi="Arial" w:cs="Arial"/>
          <w:sz w:val="20"/>
          <w:szCs w:val="20"/>
        </w:rPr>
        <w:t xml:space="preserve"> </w:t>
      </w:r>
    </w:p>
    <w:p w:rsidR="001625BA" w:rsidRPr="002218F5" w:rsidRDefault="001625BA" w:rsidP="00CC081B">
      <w:pPr>
        <w:spacing w:after="0"/>
        <w:jc w:val="both"/>
        <w:rPr>
          <w:rFonts w:ascii="Arial" w:hAnsi="Arial" w:cs="Arial"/>
          <w:sz w:val="20"/>
          <w:szCs w:val="20"/>
        </w:rPr>
      </w:pPr>
      <w:r w:rsidRPr="002218F5">
        <w:rPr>
          <w:rFonts w:ascii="Arial" w:hAnsi="Arial" w:cs="Arial"/>
          <w:sz w:val="20"/>
          <w:szCs w:val="20"/>
        </w:rPr>
        <w:t>Pripravila:</w:t>
      </w:r>
    </w:p>
    <w:p w:rsidR="001625BA" w:rsidRPr="002218F5" w:rsidRDefault="001625BA" w:rsidP="00CC081B">
      <w:pPr>
        <w:spacing w:after="0"/>
        <w:jc w:val="both"/>
        <w:rPr>
          <w:rFonts w:ascii="Arial" w:hAnsi="Arial" w:cs="Arial"/>
          <w:sz w:val="20"/>
          <w:szCs w:val="20"/>
        </w:rPr>
      </w:pPr>
      <w:r w:rsidRPr="002218F5">
        <w:rPr>
          <w:rFonts w:ascii="Arial" w:hAnsi="Arial" w:cs="Arial"/>
          <w:sz w:val="20"/>
          <w:szCs w:val="20"/>
        </w:rPr>
        <w:t>Darja Kocbek</w:t>
      </w:r>
    </w:p>
    <w:p w:rsidR="001625BA" w:rsidRDefault="001625BA" w:rsidP="00CC081B">
      <w:pPr>
        <w:spacing w:after="0"/>
      </w:pPr>
    </w:p>
    <w:sectPr w:rsidR="001625BA" w:rsidSect="00F047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2C6B"/>
    <w:multiLevelType w:val="hybridMultilevel"/>
    <w:tmpl w:val="8D880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152"/>
    <w:rsid w:val="001625BA"/>
    <w:rsid w:val="002218F5"/>
    <w:rsid w:val="00A8753D"/>
    <w:rsid w:val="00C33BBE"/>
    <w:rsid w:val="00CC081B"/>
    <w:rsid w:val="00D27152"/>
    <w:rsid w:val="00F047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4779"/>
  </w:style>
  <w:style w:type="paragraph" w:styleId="Naslov2">
    <w:name w:val="heading 2"/>
    <w:basedOn w:val="Navaden"/>
    <w:link w:val="Naslov2Znak"/>
    <w:uiPriority w:val="9"/>
    <w:qFormat/>
    <w:rsid w:val="00C33BB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27152"/>
    <w:rPr>
      <w:color w:val="0000FF"/>
      <w:u w:val="single"/>
    </w:rPr>
  </w:style>
  <w:style w:type="paragraph" w:styleId="Odstavekseznama">
    <w:name w:val="List Paragraph"/>
    <w:basedOn w:val="Navaden"/>
    <w:uiPriority w:val="34"/>
    <w:qFormat/>
    <w:rsid w:val="00CC081B"/>
    <w:pPr>
      <w:ind w:left="720"/>
      <w:contextualSpacing/>
    </w:pPr>
  </w:style>
  <w:style w:type="character" w:customStyle="1" w:styleId="Naslov2Znak">
    <w:name w:val="Naslov 2 Znak"/>
    <w:basedOn w:val="Privzetapisavaodstavka"/>
    <w:link w:val="Naslov2"/>
    <w:uiPriority w:val="9"/>
    <w:rsid w:val="00C33BB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33B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3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5E/ip_22_4544" TargetMode="External"/><Relationship Id="rId3" Type="http://schemas.openxmlformats.org/officeDocument/2006/relationships/settings" Target="settings.xml"/><Relationship Id="rId7" Type="http://schemas.openxmlformats.org/officeDocument/2006/relationships/hyperlink" Target="https://energy.ec.europa.eu/delegated-regulation-minimum-threshold-ghg-savings-recycled-carbon-fuels-and-annex_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delegated-regulation-union-methodology-rnfbos_s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ergy.ec.europa.eu/topics/energy-systems-integration/hydrogen_sl" TargetMode="External"/><Relationship Id="rId4" Type="http://schemas.openxmlformats.org/officeDocument/2006/relationships/webSettings" Target="webSettings.xml"/><Relationship Id="rId9" Type="http://schemas.openxmlformats.org/officeDocument/2006/relationships/hyperlink" Target="https://ec.europa.eu/commission/presscorner/detail/sl/ip_22_567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573</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2023-02-14T19:22:00Z</dcterms:created>
  <dcterms:modified xsi:type="dcterms:W3CDTF">2023-02-14T19:48:00Z</dcterms:modified>
</cp:coreProperties>
</file>