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AF4" w:rsidRPr="00467345" w:rsidRDefault="00DE2AF4" w:rsidP="00DE2AF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E2AF4" w:rsidRPr="00083714" w:rsidRDefault="00DE2AF4" w:rsidP="00DE2AF4">
      <w:pPr>
        <w:pStyle w:val="Naslov2"/>
        <w:tabs>
          <w:tab w:val="left" w:pos="3120"/>
        </w:tabs>
        <w:spacing w:before="240"/>
        <w:jc w:val="center"/>
        <w:rPr>
          <w:b w:val="0"/>
          <w:bCs w:val="0"/>
          <w:i/>
          <w:iCs/>
          <w:sz w:val="22"/>
        </w:rPr>
      </w:pPr>
      <w:r w:rsidRPr="00083714">
        <w:rPr>
          <w:sz w:val="22"/>
        </w:rPr>
        <w:t>Slovensko gospodarsko in raziskovalno združenje, Bruselj</w:t>
      </w:r>
    </w:p>
    <w:p w:rsidR="00DE2AF4" w:rsidRPr="00083714" w:rsidRDefault="00DE2AF4" w:rsidP="00DE2AF4">
      <w:pPr>
        <w:pBdr>
          <w:bottom w:val="single" w:sz="6" w:space="1" w:color="auto"/>
        </w:pBdr>
        <w:tabs>
          <w:tab w:val="left" w:pos="3120"/>
        </w:tabs>
        <w:spacing w:before="240"/>
        <w:jc w:val="center"/>
        <w:rPr>
          <w:sz w:val="16"/>
          <w:szCs w:val="16"/>
        </w:rPr>
      </w:pPr>
    </w:p>
    <w:p w:rsidR="00DE2AF4" w:rsidRDefault="00DE2AF4" w:rsidP="00DE2AF4">
      <w:pPr>
        <w:tabs>
          <w:tab w:val="left" w:pos="3120"/>
        </w:tabs>
        <w:spacing w:before="240"/>
        <w:rPr>
          <w:b/>
        </w:rPr>
      </w:pPr>
      <w:r w:rsidRPr="00083714">
        <w:rPr>
          <w:b/>
        </w:rPr>
        <w:tab/>
      </w:r>
      <w:r>
        <w:rPr>
          <w:b/>
        </w:rPr>
        <w:t xml:space="preserve">Občasna informacija članom 28 </w:t>
      </w:r>
      <w:r w:rsidRPr="00083714">
        <w:rPr>
          <w:b/>
        </w:rPr>
        <w:t>– 20</w:t>
      </w:r>
      <w:r>
        <w:rPr>
          <w:b/>
        </w:rPr>
        <w:t>22</w:t>
      </w:r>
    </w:p>
    <w:p w:rsidR="00DE2AF4" w:rsidRPr="0084452F" w:rsidRDefault="00DE2AF4" w:rsidP="00DE2AF4">
      <w:pPr>
        <w:tabs>
          <w:tab w:val="left" w:pos="3120"/>
        </w:tabs>
        <w:spacing w:before="240"/>
        <w:jc w:val="center"/>
        <w:rPr>
          <w:b/>
        </w:rPr>
      </w:pPr>
      <w:r>
        <w:rPr>
          <w:b/>
        </w:rPr>
        <w:t xml:space="preserve">14. februar </w:t>
      </w:r>
      <w:r w:rsidRPr="00083714">
        <w:rPr>
          <w:b/>
        </w:rPr>
        <w:t xml:space="preserve"> 20</w:t>
      </w:r>
      <w:r>
        <w:rPr>
          <w:b/>
        </w:rPr>
        <w:t>22</w:t>
      </w:r>
    </w:p>
    <w:p w:rsidR="003351B5" w:rsidRDefault="00DE2AF4" w:rsidP="00DE2AF4">
      <w:pPr>
        <w:jc w:val="center"/>
        <w:rPr>
          <w:rFonts w:ascii="Arial" w:hAnsi="Arial" w:cs="Arial"/>
          <w:b/>
          <w:i/>
        </w:rPr>
      </w:pPr>
      <w:r>
        <w:rPr>
          <w:b/>
          <w:color w:val="993300"/>
          <w:sz w:val="32"/>
          <w:szCs w:val="32"/>
        </w:rPr>
        <w:t>Sprejet je delovni program Evropskega sveta za inovacije (EIC) za leto 2022</w:t>
      </w:r>
    </w:p>
    <w:p w:rsidR="001028CE" w:rsidRPr="003351B5" w:rsidRDefault="00A22449" w:rsidP="003351B5">
      <w:pPr>
        <w:jc w:val="both"/>
        <w:rPr>
          <w:rFonts w:ascii="Arial" w:hAnsi="Arial" w:cs="Arial"/>
          <w:b/>
          <w:i/>
        </w:rPr>
      </w:pPr>
      <w:r w:rsidRPr="003351B5">
        <w:rPr>
          <w:rFonts w:ascii="Arial" w:hAnsi="Arial" w:cs="Arial"/>
          <w:b/>
          <w:i/>
        </w:rPr>
        <w:t xml:space="preserve">Evropska komisija je sprejela delovni program Evropskega sveta za inovacije (EIC) za leto 2022. Predstavniki Evropske komisije bodo na </w:t>
      </w:r>
      <w:r w:rsidR="003351B5">
        <w:rPr>
          <w:rFonts w:ascii="Arial" w:hAnsi="Arial" w:cs="Arial"/>
          <w:b/>
          <w:i/>
        </w:rPr>
        <w:t xml:space="preserve">virtualnem </w:t>
      </w:r>
      <w:r w:rsidRPr="003351B5">
        <w:rPr>
          <w:rFonts w:ascii="Arial" w:hAnsi="Arial" w:cs="Arial"/>
          <w:b/>
          <w:i/>
        </w:rPr>
        <w:t xml:space="preserve">informativnem dnevu 22. februarja predstavili informacije o delovanju EIC, navodila za oddajo vloge za financiranje skupaj z informacijami kdo so upravičenci. Udeleženci bodo lahko izvedeli več o možnostih financiranja za raziskovalne skupine, zagonska podjetja, mala in srednja podjetja.  </w:t>
      </w:r>
      <w:r w:rsidR="00A00324" w:rsidRPr="003351B5">
        <w:rPr>
          <w:rFonts w:ascii="Arial" w:hAnsi="Arial" w:cs="Arial"/>
          <w:b/>
          <w:i/>
        </w:rPr>
        <w:t xml:space="preserve">Podrobnejše informacije o informativnem dnevu bodo na spletni strani EIC objavili v kratkem. </w:t>
      </w:r>
      <w:r w:rsidRPr="003351B5">
        <w:rPr>
          <w:rFonts w:ascii="Arial" w:hAnsi="Arial" w:cs="Arial"/>
          <w:b/>
          <w:i/>
        </w:rPr>
        <w:t>Člani lahko dobijo več informacij tudi na SBRA.</w:t>
      </w:r>
    </w:p>
    <w:p w:rsidR="00A22449" w:rsidRPr="00DE2AF4" w:rsidRDefault="00A22449" w:rsidP="003351B5">
      <w:pPr>
        <w:jc w:val="both"/>
        <w:rPr>
          <w:rFonts w:ascii="Arial" w:hAnsi="Arial" w:cs="Arial"/>
          <w:b/>
          <w:sz w:val="20"/>
          <w:szCs w:val="20"/>
        </w:rPr>
      </w:pPr>
      <w:r w:rsidRPr="00DE2AF4">
        <w:rPr>
          <w:rFonts w:ascii="Arial" w:hAnsi="Arial" w:cs="Arial"/>
          <w:b/>
          <w:sz w:val="20"/>
          <w:szCs w:val="20"/>
        </w:rPr>
        <w:t xml:space="preserve">Tabela 1: Financiranje in podpora </w:t>
      </w:r>
      <w:r w:rsidR="003351B5" w:rsidRPr="00DE2AF4">
        <w:rPr>
          <w:rFonts w:ascii="Arial" w:hAnsi="Arial" w:cs="Arial"/>
          <w:b/>
          <w:sz w:val="20"/>
          <w:szCs w:val="20"/>
        </w:rPr>
        <w:t>EIC</w:t>
      </w:r>
      <w:r w:rsidRPr="00DE2AF4">
        <w:rPr>
          <w:rFonts w:ascii="Arial" w:hAnsi="Arial" w:cs="Arial"/>
          <w:b/>
          <w:sz w:val="20"/>
          <w:szCs w:val="20"/>
        </w:rPr>
        <w:t xml:space="preserve"> v letu 2022</w:t>
      </w:r>
    </w:p>
    <w:tbl>
      <w:tblPr>
        <w:tblStyle w:val="Tabela-mrea"/>
        <w:tblW w:w="0" w:type="auto"/>
        <w:tblLook w:val="04A0"/>
      </w:tblPr>
      <w:tblGrid>
        <w:gridCol w:w="3070"/>
        <w:gridCol w:w="3071"/>
        <w:gridCol w:w="3071"/>
      </w:tblGrid>
      <w:tr w:rsidR="00A04219" w:rsidRPr="003351B5" w:rsidTr="00A04219">
        <w:tc>
          <w:tcPr>
            <w:tcW w:w="3070" w:type="dxa"/>
          </w:tcPr>
          <w:p w:rsidR="00A04219" w:rsidRPr="003351B5" w:rsidRDefault="00A04219" w:rsidP="003351B5">
            <w:pPr>
              <w:jc w:val="both"/>
              <w:rPr>
                <w:rFonts w:ascii="Arial" w:hAnsi="Arial" w:cs="Arial"/>
                <w:b/>
                <w:sz w:val="20"/>
                <w:szCs w:val="20"/>
              </w:rPr>
            </w:pPr>
            <w:r w:rsidRPr="003351B5">
              <w:rPr>
                <w:rFonts w:ascii="Arial" w:hAnsi="Arial" w:cs="Arial"/>
                <w:b/>
                <w:sz w:val="20"/>
                <w:szCs w:val="20"/>
              </w:rPr>
              <w:t>Program EIC</w:t>
            </w:r>
          </w:p>
        </w:tc>
        <w:tc>
          <w:tcPr>
            <w:tcW w:w="3071" w:type="dxa"/>
          </w:tcPr>
          <w:p w:rsidR="00A04219" w:rsidRPr="003351B5" w:rsidRDefault="00A04219" w:rsidP="003351B5">
            <w:pPr>
              <w:jc w:val="both"/>
              <w:rPr>
                <w:rFonts w:ascii="Arial" w:hAnsi="Arial" w:cs="Arial"/>
                <w:b/>
                <w:sz w:val="20"/>
                <w:szCs w:val="20"/>
              </w:rPr>
            </w:pPr>
            <w:r w:rsidRPr="003351B5">
              <w:rPr>
                <w:rFonts w:ascii="Arial" w:hAnsi="Arial" w:cs="Arial"/>
                <w:b/>
                <w:sz w:val="20"/>
                <w:szCs w:val="20"/>
              </w:rPr>
              <w:t>Proračun v letu 2022</w:t>
            </w:r>
          </w:p>
        </w:tc>
        <w:tc>
          <w:tcPr>
            <w:tcW w:w="3071" w:type="dxa"/>
          </w:tcPr>
          <w:p w:rsidR="00A04219" w:rsidRPr="003351B5" w:rsidRDefault="003351B5" w:rsidP="003351B5">
            <w:pPr>
              <w:jc w:val="both"/>
              <w:rPr>
                <w:rFonts w:ascii="Arial" w:hAnsi="Arial" w:cs="Arial"/>
                <w:b/>
                <w:sz w:val="20"/>
                <w:szCs w:val="20"/>
              </w:rPr>
            </w:pPr>
            <w:r w:rsidRPr="003351B5">
              <w:rPr>
                <w:rFonts w:ascii="Arial" w:hAnsi="Arial" w:cs="Arial"/>
                <w:b/>
                <w:sz w:val="20"/>
                <w:szCs w:val="20"/>
              </w:rPr>
              <w:t>Upravičenci</w:t>
            </w:r>
          </w:p>
        </w:tc>
      </w:tr>
      <w:tr w:rsidR="00A04219" w:rsidRPr="003351B5" w:rsidTr="00A04219">
        <w:tc>
          <w:tcPr>
            <w:tcW w:w="3070" w:type="dxa"/>
          </w:tcPr>
          <w:p w:rsidR="00A04219" w:rsidRPr="003351B5" w:rsidRDefault="00A04219" w:rsidP="003351B5">
            <w:pPr>
              <w:jc w:val="both"/>
              <w:rPr>
                <w:rFonts w:ascii="Arial" w:hAnsi="Arial" w:cs="Arial"/>
                <w:b/>
                <w:sz w:val="20"/>
                <w:szCs w:val="20"/>
              </w:rPr>
            </w:pPr>
            <w:r w:rsidRPr="003351B5">
              <w:rPr>
                <w:rFonts w:ascii="Arial" w:hAnsi="Arial" w:cs="Arial"/>
                <w:b/>
                <w:sz w:val="20"/>
                <w:szCs w:val="20"/>
              </w:rPr>
              <w:t>Iskalec EIC</w:t>
            </w:r>
          </w:p>
        </w:tc>
        <w:tc>
          <w:tcPr>
            <w:tcW w:w="3071" w:type="dxa"/>
          </w:tcPr>
          <w:p w:rsidR="00A04219" w:rsidRPr="003351B5" w:rsidRDefault="00A04219" w:rsidP="003351B5">
            <w:pPr>
              <w:jc w:val="both"/>
              <w:rPr>
                <w:rFonts w:ascii="Arial" w:hAnsi="Arial" w:cs="Arial"/>
                <w:sz w:val="20"/>
                <w:szCs w:val="20"/>
              </w:rPr>
            </w:pPr>
            <w:r w:rsidRPr="003351B5">
              <w:rPr>
                <w:rFonts w:ascii="Arial" w:hAnsi="Arial" w:cs="Arial"/>
                <w:sz w:val="20"/>
                <w:szCs w:val="20"/>
              </w:rPr>
              <w:t>350 milijonov evrov</w:t>
            </w:r>
          </w:p>
        </w:tc>
        <w:tc>
          <w:tcPr>
            <w:tcW w:w="3071" w:type="dxa"/>
          </w:tcPr>
          <w:p w:rsidR="00A04219" w:rsidRPr="003351B5" w:rsidRDefault="00A04219" w:rsidP="003351B5">
            <w:pPr>
              <w:jc w:val="both"/>
              <w:rPr>
                <w:rFonts w:ascii="Arial" w:hAnsi="Arial" w:cs="Arial"/>
                <w:sz w:val="20"/>
                <w:szCs w:val="20"/>
              </w:rPr>
            </w:pPr>
            <w:r w:rsidRPr="003351B5">
              <w:rPr>
                <w:rFonts w:ascii="Arial" w:hAnsi="Arial" w:cs="Arial"/>
                <w:sz w:val="20"/>
                <w:szCs w:val="20"/>
              </w:rPr>
              <w:t xml:space="preserve">za </w:t>
            </w:r>
            <w:proofErr w:type="spellStart"/>
            <w:r w:rsidRPr="003351B5">
              <w:rPr>
                <w:rFonts w:ascii="Arial" w:hAnsi="Arial" w:cs="Arial"/>
                <w:sz w:val="20"/>
                <w:szCs w:val="20"/>
              </w:rPr>
              <w:t>multidisciplinarne</w:t>
            </w:r>
            <w:proofErr w:type="spellEnd"/>
            <w:r w:rsidRPr="003351B5">
              <w:rPr>
                <w:rFonts w:ascii="Arial" w:hAnsi="Arial" w:cs="Arial"/>
                <w:sz w:val="20"/>
                <w:szCs w:val="20"/>
              </w:rPr>
              <w:t xml:space="preserve"> raziskovalne skupine za izvajanje vizionarskih raziskav, ki bi lahko vodile do tehnoloških prebojev</w:t>
            </w:r>
          </w:p>
        </w:tc>
      </w:tr>
      <w:tr w:rsidR="00A04219" w:rsidRPr="003351B5" w:rsidTr="00A04219">
        <w:tc>
          <w:tcPr>
            <w:tcW w:w="3070" w:type="dxa"/>
          </w:tcPr>
          <w:p w:rsidR="00A04219" w:rsidRPr="003351B5" w:rsidRDefault="00A04219" w:rsidP="003351B5">
            <w:pPr>
              <w:jc w:val="both"/>
              <w:rPr>
                <w:rFonts w:ascii="Arial" w:hAnsi="Arial" w:cs="Arial"/>
                <w:b/>
                <w:sz w:val="20"/>
                <w:szCs w:val="20"/>
              </w:rPr>
            </w:pPr>
            <w:r w:rsidRPr="003351B5">
              <w:rPr>
                <w:rFonts w:ascii="Arial" w:hAnsi="Arial" w:cs="Arial"/>
                <w:b/>
                <w:sz w:val="20"/>
                <w:szCs w:val="20"/>
              </w:rPr>
              <w:t>Program EIC za financiranje prehoda</w:t>
            </w:r>
          </w:p>
        </w:tc>
        <w:tc>
          <w:tcPr>
            <w:tcW w:w="3071" w:type="dxa"/>
          </w:tcPr>
          <w:p w:rsidR="00A04219" w:rsidRPr="003351B5" w:rsidRDefault="00A04219" w:rsidP="003351B5">
            <w:pPr>
              <w:jc w:val="both"/>
              <w:rPr>
                <w:rFonts w:ascii="Arial" w:hAnsi="Arial" w:cs="Arial"/>
                <w:sz w:val="20"/>
                <w:szCs w:val="20"/>
              </w:rPr>
            </w:pPr>
            <w:r w:rsidRPr="003351B5">
              <w:rPr>
                <w:rFonts w:ascii="Arial" w:hAnsi="Arial" w:cs="Arial"/>
                <w:sz w:val="20"/>
                <w:szCs w:val="20"/>
              </w:rPr>
              <w:t>131 milijonov evrov</w:t>
            </w:r>
          </w:p>
        </w:tc>
        <w:tc>
          <w:tcPr>
            <w:tcW w:w="3071" w:type="dxa"/>
          </w:tcPr>
          <w:p w:rsidR="00A04219" w:rsidRPr="003351B5" w:rsidRDefault="00A04219" w:rsidP="003351B5">
            <w:pPr>
              <w:jc w:val="both"/>
              <w:rPr>
                <w:rFonts w:ascii="Arial" w:hAnsi="Arial" w:cs="Arial"/>
                <w:sz w:val="20"/>
                <w:szCs w:val="20"/>
              </w:rPr>
            </w:pPr>
            <w:r w:rsidRPr="003351B5">
              <w:rPr>
                <w:rFonts w:ascii="Arial" w:hAnsi="Arial" w:cs="Arial"/>
                <w:sz w:val="20"/>
                <w:szCs w:val="20"/>
              </w:rPr>
              <w:t>za pretvorbo rezultatov raziskav v priložnosti za inovacije, ki se osredotoča na rezultate projektov programa Iskalec EIC in projektov Evropskega raziskovalnega sveta (ERC) za dokazovanje izvedljivosti, da bi tehnologije dozorele in da bi se upravičile njihove specifične uporabe</w:t>
            </w:r>
          </w:p>
        </w:tc>
      </w:tr>
      <w:tr w:rsidR="00A04219" w:rsidRPr="003351B5" w:rsidTr="00A04219">
        <w:tc>
          <w:tcPr>
            <w:tcW w:w="3070" w:type="dxa"/>
          </w:tcPr>
          <w:p w:rsidR="00A04219" w:rsidRPr="003351B5" w:rsidRDefault="00A04219" w:rsidP="003351B5">
            <w:pPr>
              <w:jc w:val="both"/>
              <w:rPr>
                <w:rFonts w:ascii="Arial" w:hAnsi="Arial" w:cs="Arial"/>
                <w:b/>
                <w:sz w:val="20"/>
                <w:szCs w:val="20"/>
              </w:rPr>
            </w:pPr>
            <w:r w:rsidRPr="003351B5">
              <w:rPr>
                <w:rFonts w:ascii="Arial" w:hAnsi="Arial" w:cs="Arial"/>
                <w:b/>
                <w:sz w:val="20"/>
                <w:szCs w:val="20"/>
              </w:rPr>
              <w:t>Pospeševalec EIC</w:t>
            </w:r>
          </w:p>
        </w:tc>
        <w:tc>
          <w:tcPr>
            <w:tcW w:w="3071" w:type="dxa"/>
          </w:tcPr>
          <w:p w:rsidR="00A04219" w:rsidRPr="003351B5" w:rsidRDefault="00A04219" w:rsidP="003351B5">
            <w:pPr>
              <w:jc w:val="both"/>
              <w:rPr>
                <w:rFonts w:ascii="Arial" w:hAnsi="Arial" w:cs="Arial"/>
                <w:sz w:val="20"/>
                <w:szCs w:val="20"/>
              </w:rPr>
            </w:pPr>
            <w:r w:rsidRPr="003351B5">
              <w:rPr>
                <w:rFonts w:ascii="Arial" w:hAnsi="Arial" w:cs="Arial"/>
                <w:sz w:val="20"/>
                <w:szCs w:val="20"/>
              </w:rPr>
              <w:t>1,16 milijarde evrov</w:t>
            </w:r>
          </w:p>
        </w:tc>
        <w:tc>
          <w:tcPr>
            <w:tcW w:w="3071" w:type="dxa"/>
          </w:tcPr>
          <w:p w:rsidR="00A04219" w:rsidRPr="003351B5" w:rsidRDefault="00A04219" w:rsidP="003351B5">
            <w:pPr>
              <w:jc w:val="both"/>
              <w:rPr>
                <w:rFonts w:ascii="Arial" w:hAnsi="Arial" w:cs="Arial"/>
                <w:sz w:val="20"/>
                <w:szCs w:val="20"/>
              </w:rPr>
            </w:pPr>
            <w:r w:rsidRPr="003351B5">
              <w:rPr>
                <w:rFonts w:ascii="Arial" w:hAnsi="Arial" w:cs="Arial"/>
                <w:sz w:val="20"/>
                <w:szCs w:val="20"/>
              </w:rPr>
              <w:t>za zagonska podjetja ter mala in srednja podjetja, namenjen je razvoju in širjenju inovacij z velikim učinkom, ki bi lahko ustvarile nove trge ali prelomne dosežke na obstoječih trgih</w:t>
            </w:r>
          </w:p>
        </w:tc>
      </w:tr>
    </w:tbl>
    <w:p w:rsidR="00A22449" w:rsidRPr="003351B5" w:rsidRDefault="00A04219" w:rsidP="003351B5">
      <w:pPr>
        <w:jc w:val="both"/>
        <w:rPr>
          <w:rFonts w:ascii="Arial" w:hAnsi="Arial" w:cs="Arial"/>
          <w:sz w:val="20"/>
          <w:szCs w:val="20"/>
        </w:rPr>
      </w:pPr>
      <w:r w:rsidRPr="003351B5">
        <w:rPr>
          <w:rFonts w:ascii="Arial" w:hAnsi="Arial" w:cs="Arial"/>
          <w:sz w:val="20"/>
          <w:szCs w:val="20"/>
        </w:rPr>
        <w:t>Vir: Evropska komisija</w:t>
      </w:r>
    </w:p>
    <w:p w:rsidR="00A04219" w:rsidRPr="003351B5" w:rsidRDefault="003351B5" w:rsidP="003351B5">
      <w:pPr>
        <w:jc w:val="both"/>
        <w:rPr>
          <w:rFonts w:ascii="Arial" w:hAnsi="Arial" w:cs="Arial"/>
          <w:sz w:val="20"/>
          <w:szCs w:val="20"/>
        </w:rPr>
      </w:pPr>
      <w:r>
        <w:rPr>
          <w:rFonts w:ascii="Arial" w:hAnsi="Arial" w:cs="Arial"/>
          <w:sz w:val="20"/>
          <w:szCs w:val="20"/>
        </w:rPr>
        <w:lastRenderedPageBreak/>
        <w:t xml:space="preserve">V </w:t>
      </w:r>
      <w:r w:rsidR="00A04219" w:rsidRPr="003351B5">
        <w:rPr>
          <w:rFonts w:ascii="Arial" w:hAnsi="Arial" w:cs="Arial"/>
          <w:sz w:val="20"/>
          <w:szCs w:val="20"/>
        </w:rPr>
        <w:t>okviru programa EIC za financiranje prehoda in programa Pospeševalec EIC</w:t>
      </w:r>
      <w:r>
        <w:rPr>
          <w:rFonts w:ascii="Arial" w:hAnsi="Arial" w:cs="Arial"/>
          <w:sz w:val="20"/>
          <w:szCs w:val="20"/>
        </w:rPr>
        <w:t xml:space="preserve"> bo v letu 2022 n</w:t>
      </w:r>
      <w:r w:rsidRPr="003351B5">
        <w:rPr>
          <w:rFonts w:ascii="Arial" w:hAnsi="Arial" w:cs="Arial"/>
          <w:sz w:val="20"/>
          <w:szCs w:val="20"/>
        </w:rPr>
        <w:t>a voljo več rokov za oddajo prijav</w:t>
      </w:r>
      <w:r w:rsidR="00A04219" w:rsidRPr="003351B5">
        <w:rPr>
          <w:rFonts w:ascii="Arial" w:hAnsi="Arial" w:cs="Arial"/>
          <w:sz w:val="20"/>
          <w:szCs w:val="20"/>
        </w:rPr>
        <w:t>. Za program za financiranje prehoda bo uveden stalen postopek prijave. Poleg tega bodo imeli vsi, ki bodo že drugič oddali prijavo v okviru programa Pospeševalec EIC, možnost opisati in zagovarjati izboljšave svoje prijave.</w:t>
      </w:r>
    </w:p>
    <w:p w:rsidR="00A04219" w:rsidRPr="003351B5" w:rsidRDefault="00A04219" w:rsidP="003351B5">
      <w:pPr>
        <w:jc w:val="both"/>
        <w:rPr>
          <w:rFonts w:ascii="Arial" w:hAnsi="Arial" w:cs="Arial"/>
          <w:b/>
          <w:sz w:val="20"/>
          <w:szCs w:val="20"/>
        </w:rPr>
      </w:pPr>
      <w:r w:rsidRPr="003351B5">
        <w:rPr>
          <w:rFonts w:ascii="Arial" w:hAnsi="Arial" w:cs="Arial"/>
          <w:b/>
          <w:sz w:val="20"/>
          <w:szCs w:val="20"/>
        </w:rPr>
        <w:t>Koristne informacije:</w:t>
      </w:r>
    </w:p>
    <w:p w:rsidR="00A04219" w:rsidRPr="003351B5" w:rsidRDefault="00A04219" w:rsidP="003351B5">
      <w:pPr>
        <w:pStyle w:val="Odstavekseznama"/>
        <w:numPr>
          <w:ilvl w:val="0"/>
          <w:numId w:val="1"/>
        </w:numPr>
        <w:jc w:val="both"/>
        <w:rPr>
          <w:rFonts w:ascii="Arial" w:hAnsi="Arial" w:cs="Arial"/>
          <w:sz w:val="20"/>
          <w:szCs w:val="20"/>
        </w:rPr>
      </w:pPr>
      <w:r w:rsidRPr="003351B5">
        <w:rPr>
          <w:rFonts w:ascii="Arial" w:hAnsi="Arial" w:cs="Arial"/>
          <w:sz w:val="20"/>
          <w:szCs w:val="20"/>
        </w:rPr>
        <w:t>Program dela za leto 2022:</w:t>
      </w:r>
    </w:p>
    <w:p w:rsidR="00A04219" w:rsidRPr="003351B5" w:rsidRDefault="00A04219" w:rsidP="003351B5">
      <w:pPr>
        <w:pStyle w:val="Odstavekseznama"/>
        <w:numPr>
          <w:ilvl w:val="0"/>
          <w:numId w:val="1"/>
        </w:numPr>
        <w:jc w:val="both"/>
        <w:rPr>
          <w:rFonts w:ascii="Arial" w:hAnsi="Arial" w:cs="Arial"/>
          <w:sz w:val="20"/>
          <w:szCs w:val="20"/>
        </w:rPr>
      </w:pPr>
      <w:hyperlink r:id="rId6" w:history="1">
        <w:r w:rsidRPr="003351B5">
          <w:rPr>
            <w:rStyle w:val="Hiperpovezava"/>
            <w:rFonts w:ascii="Arial" w:hAnsi="Arial" w:cs="Arial"/>
            <w:sz w:val="20"/>
            <w:szCs w:val="20"/>
          </w:rPr>
          <w:t>https://eic.ec.europa.eu/eic-work-programme-2022_en</w:t>
        </w:r>
      </w:hyperlink>
    </w:p>
    <w:p w:rsidR="00A04219" w:rsidRPr="003351B5" w:rsidRDefault="003F3599" w:rsidP="003351B5">
      <w:pPr>
        <w:pStyle w:val="Odstavekseznama"/>
        <w:numPr>
          <w:ilvl w:val="0"/>
          <w:numId w:val="1"/>
        </w:numPr>
        <w:jc w:val="both"/>
        <w:rPr>
          <w:rFonts w:ascii="Arial" w:hAnsi="Arial" w:cs="Arial"/>
          <w:sz w:val="20"/>
          <w:szCs w:val="20"/>
        </w:rPr>
      </w:pPr>
      <w:r w:rsidRPr="003351B5">
        <w:rPr>
          <w:rFonts w:ascii="Arial" w:hAnsi="Arial" w:cs="Arial"/>
          <w:sz w:val="20"/>
          <w:szCs w:val="20"/>
        </w:rPr>
        <w:t>Informativni list z roki razpisov 2022:</w:t>
      </w:r>
    </w:p>
    <w:p w:rsidR="003F3599" w:rsidRPr="003351B5" w:rsidRDefault="003F3599" w:rsidP="003351B5">
      <w:pPr>
        <w:pStyle w:val="Odstavekseznama"/>
        <w:numPr>
          <w:ilvl w:val="0"/>
          <w:numId w:val="1"/>
        </w:numPr>
        <w:jc w:val="both"/>
        <w:rPr>
          <w:rFonts w:ascii="Arial" w:hAnsi="Arial" w:cs="Arial"/>
          <w:sz w:val="20"/>
          <w:szCs w:val="20"/>
        </w:rPr>
      </w:pPr>
      <w:hyperlink r:id="rId7" w:history="1">
        <w:r w:rsidRPr="003351B5">
          <w:rPr>
            <w:rStyle w:val="Hiperpovezava"/>
            <w:rFonts w:ascii="Arial" w:hAnsi="Arial" w:cs="Arial"/>
            <w:sz w:val="20"/>
            <w:szCs w:val="20"/>
          </w:rPr>
          <w:t>https://eic.ec.europa.eu/system/files/2022-02/EIC-WP2022-factsheet-general.pdf</w:t>
        </w:r>
      </w:hyperlink>
    </w:p>
    <w:p w:rsidR="003F3599" w:rsidRPr="003351B5" w:rsidRDefault="003F3599" w:rsidP="003351B5">
      <w:pPr>
        <w:pStyle w:val="Odstavekseznama"/>
        <w:numPr>
          <w:ilvl w:val="0"/>
          <w:numId w:val="1"/>
        </w:numPr>
        <w:jc w:val="both"/>
        <w:rPr>
          <w:rFonts w:ascii="Arial" w:hAnsi="Arial" w:cs="Arial"/>
          <w:sz w:val="20"/>
          <w:szCs w:val="20"/>
        </w:rPr>
      </w:pPr>
      <w:r w:rsidRPr="003351B5">
        <w:rPr>
          <w:rFonts w:ascii="Arial" w:hAnsi="Arial" w:cs="Arial"/>
          <w:sz w:val="20"/>
          <w:szCs w:val="20"/>
        </w:rPr>
        <w:t>List z informacijami o možnostih za podjetja:</w:t>
      </w:r>
    </w:p>
    <w:p w:rsidR="003F3599" w:rsidRPr="003351B5" w:rsidRDefault="003F3599" w:rsidP="003351B5">
      <w:pPr>
        <w:pStyle w:val="Odstavekseznama"/>
        <w:numPr>
          <w:ilvl w:val="0"/>
          <w:numId w:val="1"/>
        </w:numPr>
        <w:jc w:val="both"/>
        <w:rPr>
          <w:rFonts w:ascii="Arial" w:hAnsi="Arial" w:cs="Arial"/>
          <w:sz w:val="20"/>
          <w:szCs w:val="20"/>
        </w:rPr>
      </w:pPr>
      <w:hyperlink r:id="rId8" w:history="1">
        <w:r w:rsidRPr="003351B5">
          <w:rPr>
            <w:rStyle w:val="Hiperpovezava"/>
            <w:rFonts w:ascii="Arial" w:hAnsi="Arial" w:cs="Arial"/>
            <w:sz w:val="20"/>
            <w:szCs w:val="20"/>
          </w:rPr>
          <w:t>https://eic.ec.europa.eu/system/files/2022-02/EIC-WP2022-factsheet-companies.pdf</w:t>
        </w:r>
      </w:hyperlink>
    </w:p>
    <w:p w:rsidR="003F3599" w:rsidRPr="003351B5" w:rsidRDefault="003F3599" w:rsidP="003351B5">
      <w:pPr>
        <w:pStyle w:val="Odstavekseznama"/>
        <w:numPr>
          <w:ilvl w:val="0"/>
          <w:numId w:val="1"/>
        </w:numPr>
        <w:jc w:val="both"/>
        <w:rPr>
          <w:rFonts w:ascii="Arial" w:hAnsi="Arial" w:cs="Arial"/>
          <w:sz w:val="20"/>
          <w:szCs w:val="20"/>
        </w:rPr>
      </w:pPr>
      <w:r w:rsidRPr="003351B5">
        <w:rPr>
          <w:rFonts w:ascii="Arial" w:hAnsi="Arial" w:cs="Arial"/>
          <w:sz w:val="20"/>
          <w:szCs w:val="20"/>
        </w:rPr>
        <w:t>List z informacijami o možnostih za raziskovalce:</w:t>
      </w:r>
    </w:p>
    <w:p w:rsidR="003F3599" w:rsidRPr="003351B5" w:rsidRDefault="003F3599" w:rsidP="003351B5">
      <w:pPr>
        <w:pStyle w:val="Odstavekseznama"/>
        <w:numPr>
          <w:ilvl w:val="0"/>
          <w:numId w:val="1"/>
        </w:numPr>
        <w:jc w:val="both"/>
        <w:rPr>
          <w:rFonts w:ascii="Arial" w:hAnsi="Arial" w:cs="Arial"/>
          <w:sz w:val="20"/>
          <w:szCs w:val="20"/>
        </w:rPr>
      </w:pPr>
      <w:hyperlink r:id="rId9" w:history="1">
        <w:r w:rsidRPr="003351B5">
          <w:rPr>
            <w:rStyle w:val="Hiperpovezava"/>
            <w:rFonts w:ascii="Arial" w:hAnsi="Arial" w:cs="Arial"/>
            <w:sz w:val="20"/>
            <w:szCs w:val="20"/>
          </w:rPr>
          <w:t>https://eic.ec.europa.eu/system/files/2022-02/EIC-WP2022-factsheet-researchers.pdf</w:t>
        </w:r>
      </w:hyperlink>
    </w:p>
    <w:p w:rsidR="003F3599" w:rsidRPr="003351B5" w:rsidRDefault="003F3599" w:rsidP="003351B5">
      <w:pPr>
        <w:pStyle w:val="Odstavekseznama"/>
        <w:numPr>
          <w:ilvl w:val="0"/>
          <w:numId w:val="1"/>
        </w:numPr>
        <w:jc w:val="both"/>
        <w:rPr>
          <w:rFonts w:ascii="Arial" w:hAnsi="Arial" w:cs="Arial"/>
          <w:sz w:val="20"/>
          <w:szCs w:val="20"/>
        </w:rPr>
      </w:pPr>
      <w:r w:rsidRPr="003351B5">
        <w:rPr>
          <w:rFonts w:ascii="Arial" w:hAnsi="Arial" w:cs="Arial"/>
          <w:sz w:val="20"/>
          <w:szCs w:val="20"/>
        </w:rPr>
        <w:t>Spletna stran EIC:</w:t>
      </w:r>
    </w:p>
    <w:p w:rsidR="003F3599" w:rsidRPr="003351B5" w:rsidRDefault="003F3599" w:rsidP="003351B5">
      <w:pPr>
        <w:pStyle w:val="Odstavekseznama"/>
        <w:numPr>
          <w:ilvl w:val="0"/>
          <w:numId w:val="1"/>
        </w:numPr>
        <w:jc w:val="both"/>
        <w:rPr>
          <w:rFonts w:ascii="Arial" w:hAnsi="Arial" w:cs="Arial"/>
          <w:sz w:val="20"/>
          <w:szCs w:val="20"/>
        </w:rPr>
      </w:pPr>
      <w:hyperlink r:id="rId10" w:history="1">
        <w:r w:rsidRPr="003351B5">
          <w:rPr>
            <w:rStyle w:val="Hiperpovezava"/>
            <w:rFonts w:ascii="Arial" w:hAnsi="Arial" w:cs="Arial"/>
            <w:sz w:val="20"/>
            <w:szCs w:val="20"/>
          </w:rPr>
          <w:t>https://eic.ec.europa.eu/index_en</w:t>
        </w:r>
      </w:hyperlink>
    </w:p>
    <w:p w:rsidR="003F3599" w:rsidRPr="003351B5" w:rsidRDefault="00A00324" w:rsidP="003351B5">
      <w:pPr>
        <w:spacing w:after="0"/>
        <w:jc w:val="both"/>
        <w:rPr>
          <w:rFonts w:ascii="Arial" w:hAnsi="Arial" w:cs="Arial"/>
          <w:sz w:val="20"/>
          <w:szCs w:val="20"/>
        </w:rPr>
      </w:pPr>
      <w:r w:rsidRPr="003351B5">
        <w:rPr>
          <w:rFonts w:ascii="Arial" w:hAnsi="Arial" w:cs="Arial"/>
          <w:sz w:val="20"/>
          <w:szCs w:val="20"/>
        </w:rPr>
        <w:t>Pripravila:</w:t>
      </w:r>
    </w:p>
    <w:p w:rsidR="00A00324" w:rsidRPr="003351B5" w:rsidRDefault="00A00324" w:rsidP="003351B5">
      <w:pPr>
        <w:spacing w:after="0"/>
        <w:jc w:val="both"/>
        <w:rPr>
          <w:rFonts w:ascii="Arial" w:hAnsi="Arial" w:cs="Arial"/>
          <w:sz w:val="20"/>
          <w:szCs w:val="20"/>
        </w:rPr>
      </w:pPr>
      <w:r w:rsidRPr="003351B5">
        <w:rPr>
          <w:rFonts w:ascii="Arial" w:hAnsi="Arial" w:cs="Arial"/>
          <w:sz w:val="20"/>
          <w:szCs w:val="20"/>
        </w:rPr>
        <w:t>Darja Kocbek</w:t>
      </w:r>
    </w:p>
    <w:p w:rsidR="003F3599" w:rsidRDefault="003F3599" w:rsidP="003351B5">
      <w:pPr>
        <w:spacing w:after="0"/>
      </w:pPr>
    </w:p>
    <w:p w:rsidR="003F3599" w:rsidRDefault="003F3599"/>
    <w:sectPr w:rsidR="003F3599" w:rsidSect="001028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B34C9"/>
    <w:multiLevelType w:val="hybridMultilevel"/>
    <w:tmpl w:val="849CB6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2449"/>
    <w:rsid w:val="001028CE"/>
    <w:rsid w:val="003351B5"/>
    <w:rsid w:val="003F3599"/>
    <w:rsid w:val="00A00324"/>
    <w:rsid w:val="00A04219"/>
    <w:rsid w:val="00A22449"/>
    <w:rsid w:val="00DE2A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28CE"/>
  </w:style>
  <w:style w:type="paragraph" w:styleId="Naslov2">
    <w:name w:val="heading 2"/>
    <w:basedOn w:val="Navaden"/>
    <w:next w:val="Navaden"/>
    <w:link w:val="Naslov2Znak"/>
    <w:uiPriority w:val="9"/>
    <w:semiHidden/>
    <w:unhideWhenUsed/>
    <w:qFormat/>
    <w:rsid w:val="00DE2A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A22449"/>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22449"/>
    <w:rPr>
      <w:b/>
      <w:bCs/>
    </w:rPr>
  </w:style>
  <w:style w:type="character" w:customStyle="1" w:styleId="Naslov3Znak">
    <w:name w:val="Naslov 3 Znak"/>
    <w:basedOn w:val="Privzetapisavaodstavka"/>
    <w:link w:val="Naslov3"/>
    <w:uiPriority w:val="9"/>
    <w:rsid w:val="00A22449"/>
    <w:rPr>
      <w:rFonts w:ascii="Times New Roman" w:eastAsia="Times New Roman" w:hAnsi="Times New Roman" w:cs="Times New Roman"/>
      <w:b/>
      <w:bCs/>
      <w:sz w:val="27"/>
      <w:szCs w:val="27"/>
      <w:lang w:eastAsia="sl-SI"/>
    </w:rPr>
  </w:style>
  <w:style w:type="table" w:styleId="Tabela-mrea">
    <w:name w:val="Table Grid"/>
    <w:basedOn w:val="Navadnatabela"/>
    <w:uiPriority w:val="59"/>
    <w:rsid w:val="00A042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A04219"/>
    <w:rPr>
      <w:color w:val="0000FF" w:themeColor="hyperlink"/>
      <w:u w:val="single"/>
    </w:rPr>
  </w:style>
  <w:style w:type="paragraph" w:styleId="Odstavekseznama">
    <w:name w:val="List Paragraph"/>
    <w:basedOn w:val="Navaden"/>
    <w:uiPriority w:val="34"/>
    <w:qFormat/>
    <w:rsid w:val="003351B5"/>
    <w:pPr>
      <w:ind w:left="720"/>
      <w:contextualSpacing/>
    </w:pPr>
  </w:style>
  <w:style w:type="character" w:customStyle="1" w:styleId="Naslov2Znak">
    <w:name w:val="Naslov 2 Znak"/>
    <w:basedOn w:val="Privzetapisavaodstavka"/>
    <w:link w:val="Naslov2"/>
    <w:uiPriority w:val="9"/>
    <w:semiHidden/>
    <w:rsid w:val="00DE2AF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E2AF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2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4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c.ec.europa.eu/system/files/2022-02/EIC-WP2022-factsheet-companies.pdf" TargetMode="External"/><Relationship Id="rId3" Type="http://schemas.openxmlformats.org/officeDocument/2006/relationships/settings" Target="settings.xml"/><Relationship Id="rId7" Type="http://schemas.openxmlformats.org/officeDocument/2006/relationships/hyperlink" Target="https://eic.ec.europa.eu/system/files/2022-02/EIC-WP2022-factsheet-gener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c.ec.europa.eu/eic-work-programme-2022_e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ic.ec.europa.eu/index_en" TargetMode="External"/><Relationship Id="rId4" Type="http://schemas.openxmlformats.org/officeDocument/2006/relationships/webSettings" Target="webSettings.xml"/><Relationship Id="rId9" Type="http://schemas.openxmlformats.org/officeDocument/2006/relationships/hyperlink" Target="https://eic.ec.europa.eu/system/files/2022-02/EIC-WP2022-factsheet-researchers.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436</Words>
  <Characters>2486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2022-02-09T20:17:00Z</dcterms:created>
  <dcterms:modified xsi:type="dcterms:W3CDTF">2022-02-09T20:57:00Z</dcterms:modified>
</cp:coreProperties>
</file>