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005" w:rsidRPr="00D5331F" w:rsidRDefault="00724005" w:rsidP="00724005">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24005" w:rsidRPr="00C446CC" w:rsidRDefault="00724005" w:rsidP="00724005">
      <w:pPr>
        <w:pStyle w:val="Naslov2"/>
        <w:tabs>
          <w:tab w:val="left" w:pos="3120"/>
        </w:tabs>
        <w:spacing w:before="0"/>
        <w:jc w:val="center"/>
        <w:rPr>
          <w:b w:val="0"/>
          <w:bCs w:val="0"/>
          <w:i/>
          <w:iCs/>
          <w:sz w:val="22"/>
        </w:rPr>
      </w:pPr>
      <w:r w:rsidRPr="00C446CC">
        <w:rPr>
          <w:sz w:val="22"/>
        </w:rPr>
        <w:t>Slovensko gospodarsko in raziskovalno združenje, Bruselj</w:t>
      </w:r>
    </w:p>
    <w:p w:rsidR="00724005" w:rsidRPr="00C446CC" w:rsidRDefault="00724005" w:rsidP="00724005">
      <w:pPr>
        <w:pBdr>
          <w:bottom w:val="single" w:sz="6" w:space="1" w:color="auto"/>
        </w:pBdr>
        <w:tabs>
          <w:tab w:val="left" w:pos="3120"/>
        </w:tabs>
        <w:spacing w:after="0"/>
        <w:jc w:val="center"/>
        <w:rPr>
          <w:sz w:val="16"/>
          <w:szCs w:val="16"/>
        </w:rPr>
      </w:pPr>
    </w:p>
    <w:p w:rsidR="00724005" w:rsidRDefault="00724005" w:rsidP="00724005">
      <w:pPr>
        <w:tabs>
          <w:tab w:val="left" w:pos="3120"/>
        </w:tabs>
        <w:spacing w:after="0"/>
        <w:rPr>
          <w:b/>
        </w:rPr>
      </w:pPr>
      <w:r w:rsidRPr="00C446CC">
        <w:rPr>
          <w:b/>
        </w:rPr>
        <w:tab/>
      </w:r>
    </w:p>
    <w:p w:rsidR="00724005" w:rsidRPr="00756713" w:rsidRDefault="00785302" w:rsidP="00724005">
      <w:pPr>
        <w:tabs>
          <w:tab w:val="left" w:pos="3120"/>
        </w:tabs>
        <w:spacing w:after="0"/>
        <w:jc w:val="center"/>
        <w:rPr>
          <w:b/>
        </w:rPr>
      </w:pPr>
      <w:r>
        <w:rPr>
          <w:b/>
        </w:rPr>
        <w:t>Občasna informacija članom 27</w:t>
      </w:r>
      <w:r w:rsidR="00724005" w:rsidRPr="00756713">
        <w:rPr>
          <w:b/>
        </w:rPr>
        <w:t xml:space="preserve"> – 2019</w:t>
      </w:r>
    </w:p>
    <w:p w:rsidR="00724005" w:rsidRPr="00756713" w:rsidRDefault="00724005" w:rsidP="00724005">
      <w:pPr>
        <w:tabs>
          <w:tab w:val="left" w:pos="3120"/>
        </w:tabs>
        <w:spacing w:after="0"/>
        <w:jc w:val="center"/>
        <w:rPr>
          <w:b/>
        </w:rPr>
      </w:pPr>
    </w:p>
    <w:p w:rsidR="00724005" w:rsidRPr="00756713" w:rsidRDefault="00724005" w:rsidP="00724005">
      <w:pPr>
        <w:tabs>
          <w:tab w:val="left" w:pos="3120"/>
        </w:tabs>
        <w:spacing w:after="0"/>
        <w:jc w:val="center"/>
        <w:rPr>
          <w:b/>
        </w:rPr>
      </w:pPr>
      <w:r>
        <w:rPr>
          <w:b/>
        </w:rPr>
        <w:t>18</w:t>
      </w:r>
      <w:r w:rsidRPr="00756713">
        <w:rPr>
          <w:b/>
        </w:rPr>
        <w:t>. februar 2019</w:t>
      </w:r>
    </w:p>
    <w:p w:rsidR="00724005" w:rsidRPr="00756713" w:rsidRDefault="00724005" w:rsidP="00724005">
      <w:pPr>
        <w:spacing w:after="0"/>
        <w:rPr>
          <w:b/>
          <w:color w:val="993300"/>
          <w:sz w:val="32"/>
          <w:szCs w:val="32"/>
        </w:rPr>
      </w:pPr>
    </w:p>
    <w:p w:rsidR="00724005" w:rsidRDefault="00785302" w:rsidP="00785302">
      <w:pPr>
        <w:jc w:val="center"/>
        <w:rPr>
          <w:rFonts w:ascii="Arial" w:hAnsi="Arial" w:cs="Arial"/>
          <w:b/>
          <w:i/>
        </w:rPr>
      </w:pPr>
      <w:r>
        <w:rPr>
          <w:b/>
          <w:color w:val="993300"/>
          <w:sz w:val="32"/>
          <w:szCs w:val="32"/>
        </w:rPr>
        <w:t>Predlogi Evropskega parlamenta za regionalno politiko EU v finančnem obdobju 2021-2027</w:t>
      </w:r>
    </w:p>
    <w:p w:rsidR="00D67055" w:rsidRDefault="00D67055" w:rsidP="00BD62E5">
      <w:pPr>
        <w:jc w:val="both"/>
        <w:rPr>
          <w:rFonts w:ascii="Arial" w:hAnsi="Arial" w:cs="Arial"/>
          <w:b/>
          <w:i/>
        </w:rPr>
      </w:pPr>
      <w:r w:rsidRPr="004A7259">
        <w:rPr>
          <w:rFonts w:ascii="Arial" w:hAnsi="Arial" w:cs="Arial"/>
          <w:b/>
          <w:i/>
        </w:rPr>
        <w:t>Poslanci Evropskega parlamenta so sprejeli poenostavljena pravila za izvajanje regionalne politike EU v obdobju 2021–2027. Splošna pravila, ki urejajo izdatke EU na področjih regionalne, kohezijske in socialne politike, so ključna za naložbe v regije in skupnosti EU s poudarkom na povečani podpori manj razvitim regijam. Predlog, ki so ga poslanci sprejeli, bodo osnova za pogajanja z državami članicami v okviru Sveta EU. Člani lahko podrobnejše informacije o predlogu pravil in o postopku pogajanj dobijo na SBRA.</w:t>
      </w:r>
    </w:p>
    <w:p w:rsidR="00CC19F0" w:rsidRPr="00BD62E5" w:rsidRDefault="00CC19F0" w:rsidP="00BD62E5">
      <w:pPr>
        <w:jc w:val="both"/>
        <w:rPr>
          <w:rFonts w:ascii="Arial" w:hAnsi="Arial" w:cs="Arial"/>
          <w:sz w:val="20"/>
          <w:szCs w:val="20"/>
        </w:rPr>
      </w:pPr>
      <w:r w:rsidRPr="00BD62E5">
        <w:rPr>
          <w:rFonts w:ascii="Arial" w:hAnsi="Arial" w:cs="Arial"/>
          <w:sz w:val="20"/>
          <w:szCs w:val="20"/>
        </w:rPr>
        <w:t>Evropski poslanci menijo, da je treba v obdobju 2021-2027 ohraniti sedanjo raven financiranja v višini 378,1 milijarde evrov (cene iz leta 2018). Manj razvite regije bi morale še naprej prejemati znatno podporo EU. Zaradi tega parlament zanje predlaga stopnjo sofinanciranja do 85 odstotkov in ne 70 odstotkov, kot je predlagala Evropska komisij. Stopnja sofinanciranja za regije v prehodu in bolj razvite regije bi po mnenju parlamenta morala biti 65 odstotkov oziroma 50 odstotkov.</w:t>
      </w:r>
    </w:p>
    <w:p w:rsidR="00CC19F0" w:rsidRPr="00BD62E5" w:rsidRDefault="00CC19F0" w:rsidP="00BD62E5">
      <w:pPr>
        <w:jc w:val="both"/>
        <w:rPr>
          <w:rFonts w:ascii="Arial" w:hAnsi="Arial" w:cs="Arial"/>
          <w:sz w:val="20"/>
          <w:szCs w:val="20"/>
        </w:rPr>
      </w:pPr>
      <w:r w:rsidRPr="00BD62E5">
        <w:rPr>
          <w:rFonts w:ascii="Arial" w:hAnsi="Arial" w:cs="Arial"/>
          <w:sz w:val="20"/>
          <w:szCs w:val="20"/>
        </w:rPr>
        <w:t xml:space="preserve">Skupna pravila za financiranje </w:t>
      </w:r>
      <w:r w:rsidR="00BD62E5">
        <w:rPr>
          <w:rFonts w:ascii="Arial" w:hAnsi="Arial" w:cs="Arial"/>
          <w:sz w:val="20"/>
          <w:szCs w:val="20"/>
        </w:rPr>
        <w:t>bodo</w:t>
      </w:r>
      <w:r w:rsidRPr="00BD62E5">
        <w:rPr>
          <w:rFonts w:ascii="Arial" w:hAnsi="Arial" w:cs="Arial"/>
          <w:sz w:val="20"/>
          <w:szCs w:val="20"/>
        </w:rPr>
        <w:t>:</w:t>
      </w:r>
    </w:p>
    <w:p w:rsidR="00CC19F0" w:rsidRPr="00BD62E5" w:rsidRDefault="00CC19F0" w:rsidP="00BD62E5">
      <w:pPr>
        <w:pStyle w:val="Odstavekseznama"/>
        <w:numPr>
          <w:ilvl w:val="0"/>
          <w:numId w:val="2"/>
        </w:numPr>
        <w:jc w:val="both"/>
        <w:rPr>
          <w:rFonts w:ascii="Arial" w:hAnsi="Arial" w:cs="Arial"/>
          <w:sz w:val="20"/>
          <w:szCs w:val="20"/>
        </w:rPr>
      </w:pPr>
      <w:r w:rsidRPr="00BD62E5">
        <w:rPr>
          <w:rFonts w:ascii="Arial" w:hAnsi="Arial" w:cs="Arial"/>
          <w:sz w:val="20"/>
          <w:szCs w:val="20"/>
        </w:rPr>
        <w:t>Povečanje konkurenčnosti in krepitev malih in srednjih podjetij</w:t>
      </w:r>
    </w:p>
    <w:p w:rsidR="00CC19F0" w:rsidRPr="00BD62E5" w:rsidRDefault="00CC19F0" w:rsidP="00BD62E5">
      <w:pPr>
        <w:pStyle w:val="Odstavekseznama"/>
        <w:numPr>
          <w:ilvl w:val="0"/>
          <w:numId w:val="2"/>
        </w:numPr>
        <w:jc w:val="both"/>
        <w:rPr>
          <w:rFonts w:ascii="Arial" w:hAnsi="Arial" w:cs="Arial"/>
          <w:sz w:val="20"/>
          <w:szCs w:val="20"/>
        </w:rPr>
      </w:pPr>
      <w:r w:rsidRPr="00BD62E5">
        <w:rPr>
          <w:rFonts w:ascii="Arial" w:hAnsi="Arial" w:cs="Arial"/>
          <w:sz w:val="20"/>
          <w:szCs w:val="20"/>
        </w:rPr>
        <w:t>Določanje prednostnih ukrepov za energetsko ponudbo in povpraševanje</w:t>
      </w:r>
    </w:p>
    <w:p w:rsidR="00CC19F0" w:rsidRPr="00BD62E5" w:rsidRDefault="00CC19F0" w:rsidP="00BD62E5">
      <w:pPr>
        <w:pStyle w:val="Odstavekseznama"/>
        <w:numPr>
          <w:ilvl w:val="0"/>
          <w:numId w:val="2"/>
        </w:numPr>
        <w:jc w:val="both"/>
        <w:rPr>
          <w:rFonts w:ascii="Arial" w:hAnsi="Arial" w:cs="Arial"/>
          <w:sz w:val="20"/>
          <w:szCs w:val="20"/>
        </w:rPr>
      </w:pPr>
      <w:r w:rsidRPr="00BD62E5">
        <w:rPr>
          <w:rFonts w:ascii="Arial" w:hAnsi="Arial" w:cs="Arial"/>
          <w:sz w:val="20"/>
          <w:szCs w:val="20"/>
        </w:rPr>
        <w:t>Varstvo in izboljšanje kakovosti okolja in boj proti podnebnim spremembam</w:t>
      </w:r>
    </w:p>
    <w:p w:rsidR="00CC19F0" w:rsidRPr="00BD62E5" w:rsidRDefault="00CC19F0" w:rsidP="00BD62E5">
      <w:pPr>
        <w:pStyle w:val="Odstavekseznama"/>
        <w:numPr>
          <w:ilvl w:val="0"/>
          <w:numId w:val="2"/>
        </w:numPr>
        <w:jc w:val="both"/>
        <w:rPr>
          <w:rFonts w:ascii="Arial" w:hAnsi="Arial" w:cs="Arial"/>
          <w:sz w:val="20"/>
          <w:szCs w:val="20"/>
        </w:rPr>
      </w:pPr>
      <w:r w:rsidRPr="00BD62E5">
        <w:rPr>
          <w:rFonts w:ascii="Arial" w:hAnsi="Arial" w:cs="Arial"/>
          <w:sz w:val="20"/>
          <w:szCs w:val="20"/>
        </w:rPr>
        <w:t>Spodbujanje pametne in trajnostne mobilnosti</w:t>
      </w:r>
    </w:p>
    <w:p w:rsidR="00CC19F0" w:rsidRPr="00BD62E5" w:rsidRDefault="00CC19F0" w:rsidP="00BD62E5">
      <w:pPr>
        <w:pStyle w:val="Odstavekseznama"/>
        <w:numPr>
          <w:ilvl w:val="0"/>
          <w:numId w:val="2"/>
        </w:numPr>
        <w:jc w:val="both"/>
        <w:rPr>
          <w:rFonts w:ascii="Arial" w:hAnsi="Arial" w:cs="Arial"/>
          <w:sz w:val="20"/>
          <w:szCs w:val="20"/>
        </w:rPr>
      </w:pPr>
      <w:r w:rsidRPr="00BD62E5">
        <w:rPr>
          <w:rFonts w:ascii="Arial" w:hAnsi="Arial" w:cs="Arial"/>
          <w:sz w:val="20"/>
          <w:szCs w:val="20"/>
        </w:rPr>
        <w:t>Spoštovanje temeljnih pravic, zagotavljanje enakosti spolov in preprečevanje kakršnihkoli oblik diskriminacije</w:t>
      </w:r>
    </w:p>
    <w:p w:rsidR="00CC19F0" w:rsidRPr="00BD62E5" w:rsidRDefault="00CC19F0" w:rsidP="00BD62E5">
      <w:pPr>
        <w:jc w:val="both"/>
        <w:rPr>
          <w:rFonts w:ascii="Arial" w:hAnsi="Arial" w:cs="Arial"/>
          <w:sz w:val="20"/>
          <w:szCs w:val="20"/>
        </w:rPr>
      </w:pPr>
      <w:r w:rsidRPr="00BD62E5">
        <w:rPr>
          <w:rFonts w:ascii="Arial" w:hAnsi="Arial" w:cs="Arial"/>
          <w:sz w:val="20"/>
          <w:szCs w:val="20"/>
        </w:rPr>
        <w:t>Skupne določbe se bodo uporabljale pri Evropskem skladu za regionalni razvoj, Socialnem skladu (ESS+), Kohezijskem skladu, Evropskem skladu za pomorstvo in ribištvo, določajo pa tudi finančna pravila za Sklad za azil in migracije, Sklad za notranjo varnost in instrumente za upravljanje meja in vizumov za obdobje 2021–2027.</w:t>
      </w:r>
    </w:p>
    <w:p w:rsidR="00CC19F0" w:rsidRPr="00BD62E5" w:rsidRDefault="00CC19F0" w:rsidP="00BD62E5">
      <w:pPr>
        <w:jc w:val="both"/>
        <w:rPr>
          <w:rFonts w:ascii="Arial" w:hAnsi="Arial" w:cs="Arial"/>
          <w:b/>
          <w:sz w:val="20"/>
          <w:szCs w:val="20"/>
        </w:rPr>
      </w:pPr>
      <w:r w:rsidRPr="00BD62E5">
        <w:rPr>
          <w:rFonts w:ascii="Arial" w:hAnsi="Arial" w:cs="Arial"/>
          <w:b/>
          <w:sz w:val="20"/>
          <w:szCs w:val="20"/>
        </w:rPr>
        <w:t>Koristne informacije:</w:t>
      </w:r>
    </w:p>
    <w:p w:rsidR="00CC19F0" w:rsidRPr="00BD62E5" w:rsidRDefault="00CC19F0" w:rsidP="00BD62E5">
      <w:pPr>
        <w:pStyle w:val="Odstavekseznama"/>
        <w:numPr>
          <w:ilvl w:val="0"/>
          <w:numId w:val="3"/>
        </w:numPr>
        <w:jc w:val="both"/>
        <w:rPr>
          <w:rFonts w:ascii="Arial" w:hAnsi="Arial" w:cs="Arial"/>
          <w:sz w:val="20"/>
          <w:szCs w:val="20"/>
        </w:rPr>
      </w:pPr>
      <w:r w:rsidRPr="00BD62E5">
        <w:rPr>
          <w:rFonts w:ascii="Arial" w:hAnsi="Arial" w:cs="Arial"/>
          <w:sz w:val="20"/>
          <w:szCs w:val="20"/>
        </w:rPr>
        <w:t>Predlogi Evropskega parlamenta:</w:t>
      </w:r>
    </w:p>
    <w:p w:rsidR="00CC19F0" w:rsidRPr="006851C4" w:rsidRDefault="00363A43" w:rsidP="00BD62E5">
      <w:pPr>
        <w:pStyle w:val="Odstavekseznama"/>
        <w:numPr>
          <w:ilvl w:val="0"/>
          <w:numId w:val="3"/>
        </w:numPr>
        <w:jc w:val="both"/>
        <w:rPr>
          <w:rFonts w:ascii="Arial" w:hAnsi="Arial" w:cs="Arial"/>
          <w:sz w:val="20"/>
          <w:szCs w:val="20"/>
        </w:rPr>
      </w:pPr>
      <w:hyperlink r:id="rId6" w:history="1">
        <w:r w:rsidR="00CC19F0" w:rsidRPr="00BD62E5">
          <w:rPr>
            <w:rStyle w:val="Hiperpovezava"/>
            <w:rFonts w:ascii="Arial" w:hAnsi="Arial" w:cs="Arial"/>
            <w:sz w:val="20"/>
            <w:szCs w:val="20"/>
          </w:rPr>
          <w:t>http://www.europarl.europa.eu/sides/getDoc.do?pubRef=-//EP//TEXT+TA+P8-TA-2019-0096+0+DOC+XML+V0//EN&amp;language=EN</w:t>
        </w:r>
      </w:hyperlink>
    </w:p>
    <w:p w:rsidR="006851C4" w:rsidRPr="006851C4" w:rsidRDefault="006851C4" w:rsidP="006851C4">
      <w:pPr>
        <w:jc w:val="both"/>
        <w:rPr>
          <w:rFonts w:ascii="Arial" w:hAnsi="Arial" w:cs="Arial"/>
          <w:sz w:val="20"/>
          <w:szCs w:val="20"/>
        </w:rPr>
      </w:pPr>
    </w:p>
    <w:p w:rsidR="00CC19F0" w:rsidRPr="00BD62E5" w:rsidRDefault="00CC19F0" w:rsidP="00BD62E5">
      <w:pPr>
        <w:pStyle w:val="Odstavekseznama"/>
        <w:numPr>
          <w:ilvl w:val="0"/>
          <w:numId w:val="3"/>
        </w:numPr>
        <w:jc w:val="both"/>
        <w:rPr>
          <w:rFonts w:ascii="Arial" w:hAnsi="Arial" w:cs="Arial"/>
          <w:sz w:val="20"/>
          <w:szCs w:val="20"/>
        </w:rPr>
      </w:pPr>
      <w:r w:rsidRPr="00BD62E5">
        <w:rPr>
          <w:rFonts w:ascii="Arial" w:hAnsi="Arial" w:cs="Arial"/>
          <w:sz w:val="20"/>
          <w:szCs w:val="20"/>
        </w:rPr>
        <w:t>Predlog Evropske komisije:</w:t>
      </w:r>
    </w:p>
    <w:p w:rsidR="00CC19F0" w:rsidRPr="00BD62E5" w:rsidRDefault="00363A43" w:rsidP="00BD62E5">
      <w:pPr>
        <w:pStyle w:val="Odstavekseznama"/>
        <w:numPr>
          <w:ilvl w:val="0"/>
          <w:numId w:val="3"/>
        </w:numPr>
        <w:jc w:val="both"/>
        <w:rPr>
          <w:rFonts w:ascii="Arial" w:hAnsi="Arial" w:cs="Arial"/>
          <w:sz w:val="20"/>
          <w:szCs w:val="20"/>
        </w:rPr>
      </w:pPr>
      <w:hyperlink r:id="rId7" w:history="1">
        <w:r w:rsidR="00CC19F0" w:rsidRPr="00BD62E5">
          <w:rPr>
            <w:rStyle w:val="Hiperpovezava"/>
            <w:rFonts w:ascii="Arial" w:hAnsi="Arial" w:cs="Arial"/>
            <w:sz w:val="20"/>
            <w:szCs w:val="20"/>
          </w:rPr>
          <w:t>https://eur-lex.europa.eu/legal-content/SL/TXT/?uri=COM%3A2018%3A375%3AFIN</w:t>
        </w:r>
      </w:hyperlink>
      <w:r w:rsidR="00CC19F0" w:rsidRPr="00BD62E5">
        <w:rPr>
          <w:rFonts w:ascii="Arial" w:hAnsi="Arial" w:cs="Arial"/>
          <w:sz w:val="20"/>
          <w:szCs w:val="20"/>
        </w:rPr>
        <w:t xml:space="preserve"> </w:t>
      </w:r>
    </w:p>
    <w:p w:rsidR="00CC19F0" w:rsidRPr="00BD62E5" w:rsidRDefault="00CC19F0" w:rsidP="00BD62E5">
      <w:pPr>
        <w:jc w:val="both"/>
        <w:rPr>
          <w:rFonts w:ascii="Arial" w:hAnsi="Arial" w:cs="Arial"/>
          <w:sz w:val="20"/>
          <w:szCs w:val="20"/>
        </w:rPr>
      </w:pPr>
      <w:r w:rsidRPr="00BD62E5">
        <w:rPr>
          <w:rFonts w:ascii="Arial" w:hAnsi="Arial" w:cs="Arial"/>
          <w:sz w:val="20"/>
          <w:szCs w:val="20"/>
        </w:rPr>
        <w:t>Pripravila:</w:t>
      </w:r>
    </w:p>
    <w:p w:rsidR="00CC19F0" w:rsidRPr="00BD62E5" w:rsidRDefault="00CC19F0" w:rsidP="00BD62E5">
      <w:pPr>
        <w:jc w:val="both"/>
        <w:rPr>
          <w:rFonts w:ascii="Arial" w:hAnsi="Arial" w:cs="Arial"/>
          <w:sz w:val="20"/>
          <w:szCs w:val="20"/>
        </w:rPr>
      </w:pPr>
      <w:r w:rsidRPr="00BD62E5">
        <w:rPr>
          <w:rFonts w:ascii="Arial" w:hAnsi="Arial" w:cs="Arial"/>
          <w:sz w:val="20"/>
          <w:szCs w:val="20"/>
        </w:rPr>
        <w:t>Darja Kocbek</w:t>
      </w:r>
    </w:p>
    <w:p w:rsidR="00CC19F0" w:rsidRPr="00BD62E5" w:rsidRDefault="00CC19F0" w:rsidP="00BD62E5">
      <w:pPr>
        <w:jc w:val="both"/>
        <w:rPr>
          <w:rFonts w:ascii="Arial" w:hAnsi="Arial" w:cs="Arial"/>
          <w:sz w:val="20"/>
          <w:szCs w:val="20"/>
        </w:rPr>
      </w:pPr>
    </w:p>
    <w:p w:rsidR="00461738" w:rsidRDefault="00461738"/>
    <w:sectPr w:rsidR="00461738" w:rsidSect="004617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BFE"/>
    <w:multiLevelType w:val="multilevel"/>
    <w:tmpl w:val="3138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A0DBE"/>
    <w:multiLevelType w:val="hybridMultilevel"/>
    <w:tmpl w:val="ACC0C7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42A6B04"/>
    <w:multiLevelType w:val="hybridMultilevel"/>
    <w:tmpl w:val="9AFC63F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9F0"/>
    <w:rsid w:val="00196A97"/>
    <w:rsid w:val="002857EA"/>
    <w:rsid w:val="00363A43"/>
    <w:rsid w:val="00461738"/>
    <w:rsid w:val="006851C4"/>
    <w:rsid w:val="00724005"/>
    <w:rsid w:val="00785302"/>
    <w:rsid w:val="00844C91"/>
    <w:rsid w:val="00B441C0"/>
    <w:rsid w:val="00BD62E5"/>
    <w:rsid w:val="00CC19F0"/>
    <w:rsid w:val="00D6705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1738"/>
  </w:style>
  <w:style w:type="paragraph" w:styleId="Naslov2">
    <w:name w:val="heading 2"/>
    <w:basedOn w:val="Navaden"/>
    <w:next w:val="Navaden"/>
    <w:link w:val="Naslov2Znak"/>
    <w:uiPriority w:val="9"/>
    <w:semiHidden/>
    <w:unhideWhenUsed/>
    <w:qFormat/>
    <w:rsid w:val="00724005"/>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C19F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C19F0"/>
    <w:rPr>
      <w:b/>
      <w:bCs/>
    </w:rPr>
  </w:style>
  <w:style w:type="character" w:styleId="Hiperpovezava">
    <w:name w:val="Hyperlink"/>
    <w:basedOn w:val="Privzetapisavaodstavka"/>
    <w:uiPriority w:val="99"/>
    <w:unhideWhenUsed/>
    <w:rsid w:val="00CC19F0"/>
    <w:rPr>
      <w:color w:val="0000FF" w:themeColor="hyperlink"/>
      <w:u w:val="single"/>
    </w:rPr>
  </w:style>
  <w:style w:type="paragraph" w:styleId="Odstavekseznama">
    <w:name w:val="List Paragraph"/>
    <w:basedOn w:val="Navaden"/>
    <w:uiPriority w:val="34"/>
    <w:qFormat/>
    <w:rsid w:val="00BD62E5"/>
    <w:pPr>
      <w:ind w:left="720"/>
      <w:contextualSpacing/>
    </w:pPr>
  </w:style>
  <w:style w:type="character" w:customStyle="1" w:styleId="Naslov2Znak">
    <w:name w:val="Naslov 2 Znak"/>
    <w:basedOn w:val="Privzetapisavaodstavka"/>
    <w:link w:val="Naslov2"/>
    <w:uiPriority w:val="9"/>
    <w:semiHidden/>
    <w:rsid w:val="0072400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240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4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268212">
      <w:bodyDiv w:val="1"/>
      <w:marLeft w:val="0"/>
      <w:marRight w:val="0"/>
      <w:marTop w:val="0"/>
      <w:marBottom w:val="0"/>
      <w:divBdr>
        <w:top w:val="none" w:sz="0" w:space="0" w:color="auto"/>
        <w:left w:val="none" w:sz="0" w:space="0" w:color="auto"/>
        <w:bottom w:val="none" w:sz="0" w:space="0" w:color="auto"/>
        <w:right w:val="none" w:sz="0" w:space="0" w:color="auto"/>
      </w:divBdr>
      <w:divsChild>
        <w:div w:id="1842043817">
          <w:marLeft w:val="0"/>
          <w:marRight w:val="0"/>
          <w:marTop w:val="0"/>
          <w:marBottom w:val="0"/>
          <w:divBdr>
            <w:top w:val="none" w:sz="0" w:space="0" w:color="auto"/>
            <w:left w:val="none" w:sz="0" w:space="0" w:color="auto"/>
            <w:bottom w:val="none" w:sz="0" w:space="0" w:color="auto"/>
            <w:right w:val="none" w:sz="0" w:space="0" w:color="auto"/>
          </w:divBdr>
          <w:divsChild>
            <w:div w:id="1811513175">
              <w:marLeft w:val="0"/>
              <w:marRight w:val="0"/>
              <w:marTop w:val="0"/>
              <w:marBottom w:val="0"/>
              <w:divBdr>
                <w:top w:val="none" w:sz="0" w:space="0" w:color="auto"/>
                <w:left w:val="none" w:sz="0" w:space="0" w:color="auto"/>
                <w:bottom w:val="none" w:sz="0" w:space="0" w:color="auto"/>
                <w:right w:val="none" w:sz="0" w:space="0" w:color="auto"/>
              </w:divBdr>
              <w:divsChild>
                <w:div w:id="781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994">
          <w:marLeft w:val="0"/>
          <w:marRight w:val="0"/>
          <w:marTop w:val="0"/>
          <w:marBottom w:val="0"/>
          <w:divBdr>
            <w:top w:val="none" w:sz="0" w:space="0" w:color="auto"/>
            <w:left w:val="none" w:sz="0" w:space="0" w:color="auto"/>
            <w:bottom w:val="none" w:sz="0" w:space="0" w:color="auto"/>
            <w:right w:val="none" w:sz="0" w:space="0" w:color="auto"/>
          </w:divBdr>
          <w:divsChild>
            <w:div w:id="1941060666">
              <w:marLeft w:val="0"/>
              <w:marRight w:val="0"/>
              <w:marTop w:val="0"/>
              <w:marBottom w:val="0"/>
              <w:divBdr>
                <w:top w:val="none" w:sz="0" w:space="0" w:color="auto"/>
                <w:left w:val="none" w:sz="0" w:space="0" w:color="auto"/>
                <w:bottom w:val="none" w:sz="0" w:space="0" w:color="auto"/>
                <w:right w:val="none" w:sz="0" w:space="0" w:color="auto"/>
              </w:divBdr>
              <w:divsChild>
                <w:div w:id="267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uri=COM%3A2018%3A375%3A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9-0096+0+DOC+XML+V0//EN&amp;language=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364</Words>
  <Characters>2081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2019-02-13T16:57:00Z</dcterms:created>
  <dcterms:modified xsi:type="dcterms:W3CDTF">2019-02-14T13:56:00Z</dcterms:modified>
</cp:coreProperties>
</file>