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9D" w:rsidRPr="00467345" w:rsidRDefault="00ED149D" w:rsidP="00ED149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D149D" w:rsidRPr="00083714" w:rsidRDefault="00ED149D" w:rsidP="00ED149D">
      <w:pPr>
        <w:pStyle w:val="Naslov2"/>
        <w:tabs>
          <w:tab w:val="left" w:pos="3120"/>
        </w:tabs>
        <w:spacing w:before="240"/>
        <w:jc w:val="center"/>
        <w:rPr>
          <w:b w:val="0"/>
          <w:bCs w:val="0"/>
          <w:i/>
          <w:iCs/>
          <w:sz w:val="22"/>
        </w:rPr>
      </w:pPr>
      <w:r w:rsidRPr="00083714">
        <w:rPr>
          <w:sz w:val="22"/>
        </w:rPr>
        <w:t>Slovensko gospodarsko in raziskovalno združenje, Bruselj</w:t>
      </w:r>
    </w:p>
    <w:p w:rsidR="00ED149D" w:rsidRPr="00083714" w:rsidRDefault="00ED149D" w:rsidP="00ED149D">
      <w:pPr>
        <w:pBdr>
          <w:bottom w:val="single" w:sz="6" w:space="1" w:color="auto"/>
        </w:pBdr>
        <w:tabs>
          <w:tab w:val="left" w:pos="3120"/>
        </w:tabs>
        <w:spacing w:before="240"/>
        <w:jc w:val="center"/>
        <w:rPr>
          <w:sz w:val="16"/>
          <w:szCs w:val="16"/>
        </w:rPr>
      </w:pPr>
    </w:p>
    <w:p w:rsidR="00ED149D" w:rsidRDefault="00ED149D" w:rsidP="00ED149D">
      <w:pPr>
        <w:tabs>
          <w:tab w:val="left" w:pos="3120"/>
        </w:tabs>
        <w:spacing w:before="240"/>
        <w:rPr>
          <w:b/>
        </w:rPr>
      </w:pPr>
      <w:r w:rsidRPr="00083714">
        <w:rPr>
          <w:b/>
        </w:rPr>
        <w:tab/>
      </w:r>
      <w:r>
        <w:rPr>
          <w:b/>
        </w:rPr>
        <w:t xml:space="preserve">Občasna informacija članom 25 </w:t>
      </w:r>
      <w:r w:rsidRPr="00083714">
        <w:rPr>
          <w:b/>
        </w:rPr>
        <w:t>– 20</w:t>
      </w:r>
      <w:r>
        <w:rPr>
          <w:b/>
        </w:rPr>
        <w:t>22</w:t>
      </w:r>
    </w:p>
    <w:p w:rsidR="00ED149D" w:rsidRPr="0084452F" w:rsidRDefault="00ED149D" w:rsidP="00ED149D">
      <w:pPr>
        <w:tabs>
          <w:tab w:val="left" w:pos="3120"/>
        </w:tabs>
        <w:spacing w:before="240"/>
        <w:jc w:val="center"/>
        <w:rPr>
          <w:b/>
        </w:rPr>
      </w:pPr>
      <w:r>
        <w:rPr>
          <w:b/>
        </w:rPr>
        <w:t xml:space="preserve">14. februar </w:t>
      </w:r>
      <w:r w:rsidRPr="00083714">
        <w:rPr>
          <w:b/>
        </w:rPr>
        <w:t xml:space="preserve"> 20</w:t>
      </w:r>
      <w:r>
        <w:rPr>
          <w:b/>
        </w:rPr>
        <w:t>22</w:t>
      </w:r>
    </w:p>
    <w:p w:rsidR="00ED149D" w:rsidRDefault="00ED149D" w:rsidP="00ED149D">
      <w:pPr>
        <w:jc w:val="center"/>
        <w:rPr>
          <w:rFonts w:ascii="Arial" w:hAnsi="Arial" w:cs="Arial"/>
          <w:b/>
          <w:i/>
        </w:rPr>
      </w:pPr>
      <w:r>
        <w:rPr>
          <w:b/>
          <w:color w:val="993300"/>
          <w:sz w:val="32"/>
          <w:szCs w:val="32"/>
        </w:rPr>
        <w:t>Načrt za zeleni in digitalni prehod v turizmu</w:t>
      </w:r>
    </w:p>
    <w:p w:rsidR="00151B58" w:rsidRPr="00F724A8" w:rsidRDefault="00151B58" w:rsidP="001234DB">
      <w:pPr>
        <w:jc w:val="both"/>
        <w:rPr>
          <w:rFonts w:ascii="Arial" w:hAnsi="Arial" w:cs="Arial"/>
          <w:b/>
          <w:i/>
        </w:rPr>
      </w:pPr>
      <w:r w:rsidRPr="00F724A8">
        <w:rPr>
          <w:rFonts w:ascii="Arial" w:hAnsi="Arial" w:cs="Arial"/>
          <w:b/>
          <w:i/>
        </w:rPr>
        <w:t xml:space="preserve">Evropska komisija je predstavila načrt za prehod v turizmu </w:t>
      </w:r>
      <w:r w:rsidR="00CF71D2">
        <w:rPr>
          <w:rFonts w:ascii="Arial" w:hAnsi="Arial" w:cs="Arial"/>
          <w:b/>
          <w:i/>
        </w:rPr>
        <w:t>s kate</w:t>
      </w:r>
      <w:r w:rsidRPr="00F724A8">
        <w:rPr>
          <w:rFonts w:ascii="Arial" w:hAnsi="Arial" w:cs="Arial"/>
          <w:b/>
          <w:i/>
        </w:rPr>
        <w:t>rim poziva turistično skupnost, naj izvede ukrepe</w:t>
      </w:r>
      <w:r w:rsidR="00CF71D2">
        <w:rPr>
          <w:rFonts w:ascii="Arial" w:hAnsi="Arial" w:cs="Arial"/>
          <w:b/>
          <w:i/>
        </w:rPr>
        <w:t xml:space="preserve"> za zeleni in digitalni prehod sektorja</w:t>
      </w:r>
      <w:r w:rsidRPr="00F724A8">
        <w:rPr>
          <w:rFonts w:ascii="Arial" w:hAnsi="Arial" w:cs="Arial"/>
          <w:b/>
          <w:i/>
        </w:rPr>
        <w:t xml:space="preserve"> na sedemindvajsetih področjih. Med njimi je vlaganje v krožnost s ciljem znižati porabo energije in vode ter zmanjšati količino odpadkov in onesnaževanja, obenem pa lažje zadovoljiti vse večje povpraševanje po trajnostnem turizmu. Prav tako predlaga obsežnejše izmenjevanje podatkov, da bo mogoče razviti in ponuditi nove inovativne turistične storitve in izboljšati trajnostno upravljanje </w:t>
      </w:r>
      <w:proofErr w:type="spellStart"/>
      <w:r w:rsidRPr="00F724A8">
        <w:rPr>
          <w:rFonts w:ascii="Arial" w:hAnsi="Arial" w:cs="Arial"/>
          <w:b/>
          <w:i/>
        </w:rPr>
        <w:t>destinacij</w:t>
      </w:r>
      <w:proofErr w:type="spellEnd"/>
      <w:r w:rsidRPr="00F724A8">
        <w:rPr>
          <w:rFonts w:ascii="Arial" w:hAnsi="Arial" w:cs="Arial"/>
          <w:b/>
          <w:i/>
        </w:rPr>
        <w:t xml:space="preserve">. </w:t>
      </w:r>
    </w:p>
    <w:p w:rsidR="00151B58" w:rsidRPr="001234DB" w:rsidRDefault="00151B58" w:rsidP="001234DB">
      <w:pPr>
        <w:jc w:val="both"/>
        <w:rPr>
          <w:rFonts w:ascii="Arial" w:hAnsi="Arial" w:cs="Arial"/>
          <w:sz w:val="20"/>
          <w:szCs w:val="20"/>
        </w:rPr>
      </w:pPr>
      <w:r w:rsidRPr="001234DB">
        <w:rPr>
          <w:rFonts w:ascii="Arial" w:hAnsi="Arial" w:cs="Arial"/>
          <w:sz w:val="20"/>
          <w:szCs w:val="20"/>
        </w:rPr>
        <w:t xml:space="preserve">To je prvi načrt za prehod, ki je bil oblikovan v okviru širšega ukrepa, ki je bil napovedan v posodobljeni industrijski strategiji, v kateri je Evropska komisija pozvala industrijske ekosisteme, naj pospešijo zeleno in digitalno preobrazbo ter povečajo odpornost evropskega gospodarstva. Uvedla je načelo soustvarjanja prehoda z deležniki, ki je ključno orodje sodelovanja za zeleno in digitalno preobrazbo industrijskih ekosistemov. </w:t>
      </w:r>
    </w:p>
    <w:p w:rsidR="00151B58" w:rsidRPr="001234DB" w:rsidRDefault="00151B58" w:rsidP="001234DB">
      <w:pPr>
        <w:jc w:val="both"/>
        <w:rPr>
          <w:rFonts w:ascii="Arial" w:hAnsi="Arial" w:cs="Arial"/>
          <w:sz w:val="20"/>
          <w:szCs w:val="20"/>
        </w:rPr>
      </w:pPr>
      <w:r w:rsidRPr="001234DB">
        <w:rPr>
          <w:rFonts w:ascii="Arial" w:hAnsi="Arial" w:cs="Arial"/>
          <w:sz w:val="20"/>
          <w:szCs w:val="20"/>
        </w:rPr>
        <w:t>Komisija pripravlja še načrte za izvedbo prehoda na področju mobilnosti, v gradbeništvu, energetsko intenzivnih panogah ter ekosistemih lokalnega in socialnega gospodarstva.</w:t>
      </w:r>
    </w:p>
    <w:p w:rsidR="00151B58" w:rsidRPr="00CF71D2" w:rsidRDefault="00151B58" w:rsidP="001234DB">
      <w:pPr>
        <w:jc w:val="both"/>
        <w:rPr>
          <w:rFonts w:ascii="Arial" w:hAnsi="Arial" w:cs="Arial"/>
          <w:b/>
          <w:sz w:val="20"/>
          <w:szCs w:val="20"/>
        </w:rPr>
      </w:pPr>
      <w:r w:rsidRPr="00CF71D2">
        <w:rPr>
          <w:rFonts w:ascii="Arial" w:hAnsi="Arial" w:cs="Arial"/>
          <w:b/>
          <w:sz w:val="20"/>
          <w:szCs w:val="20"/>
        </w:rPr>
        <w:t>Koristne informacije:</w:t>
      </w:r>
    </w:p>
    <w:p w:rsidR="00151B58" w:rsidRPr="00CF71D2" w:rsidRDefault="00151B58" w:rsidP="00CF71D2">
      <w:pPr>
        <w:pStyle w:val="Odstavekseznama"/>
        <w:numPr>
          <w:ilvl w:val="0"/>
          <w:numId w:val="2"/>
        </w:numPr>
        <w:jc w:val="both"/>
        <w:rPr>
          <w:rFonts w:ascii="Arial" w:hAnsi="Arial" w:cs="Arial"/>
          <w:sz w:val="20"/>
          <w:szCs w:val="20"/>
        </w:rPr>
      </w:pPr>
      <w:r w:rsidRPr="00CF71D2">
        <w:rPr>
          <w:rFonts w:ascii="Arial" w:hAnsi="Arial" w:cs="Arial"/>
          <w:sz w:val="20"/>
          <w:szCs w:val="20"/>
        </w:rPr>
        <w:t>Načrt za prehod v turizmu:</w:t>
      </w:r>
    </w:p>
    <w:p w:rsidR="00151B58" w:rsidRPr="00CF71D2" w:rsidRDefault="00151B58" w:rsidP="00CF71D2">
      <w:pPr>
        <w:pStyle w:val="Odstavekseznama"/>
        <w:numPr>
          <w:ilvl w:val="0"/>
          <w:numId w:val="2"/>
        </w:numPr>
        <w:jc w:val="both"/>
        <w:rPr>
          <w:rFonts w:ascii="Arial" w:hAnsi="Arial" w:cs="Arial"/>
          <w:sz w:val="20"/>
          <w:szCs w:val="20"/>
        </w:rPr>
      </w:pPr>
      <w:hyperlink r:id="rId6" w:history="1">
        <w:r w:rsidRPr="00CF71D2">
          <w:rPr>
            <w:rStyle w:val="Hiperpovezava"/>
            <w:rFonts w:ascii="Arial" w:hAnsi="Arial" w:cs="Arial"/>
            <w:sz w:val="20"/>
            <w:szCs w:val="20"/>
          </w:rPr>
          <w:t>https://ec.europa.eu/docsroom/documents/48697</w:t>
        </w:r>
      </w:hyperlink>
    </w:p>
    <w:p w:rsidR="00151B58" w:rsidRPr="00CF71D2" w:rsidRDefault="00151B58" w:rsidP="00CF71D2">
      <w:pPr>
        <w:pStyle w:val="Odstavekseznama"/>
        <w:numPr>
          <w:ilvl w:val="0"/>
          <w:numId w:val="2"/>
        </w:numPr>
        <w:jc w:val="both"/>
        <w:rPr>
          <w:rFonts w:ascii="Arial" w:hAnsi="Arial" w:cs="Arial"/>
          <w:sz w:val="20"/>
          <w:szCs w:val="20"/>
        </w:rPr>
      </w:pPr>
      <w:r w:rsidRPr="00CF71D2">
        <w:rPr>
          <w:rFonts w:ascii="Arial" w:hAnsi="Arial" w:cs="Arial"/>
          <w:sz w:val="20"/>
          <w:szCs w:val="20"/>
        </w:rPr>
        <w:t>Posodobljena evropska industrijska strategija:</w:t>
      </w:r>
    </w:p>
    <w:p w:rsidR="00151B58" w:rsidRPr="00CF71D2" w:rsidRDefault="00151B58" w:rsidP="00CF71D2">
      <w:pPr>
        <w:pStyle w:val="Odstavekseznama"/>
        <w:numPr>
          <w:ilvl w:val="0"/>
          <w:numId w:val="2"/>
        </w:numPr>
        <w:jc w:val="both"/>
        <w:rPr>
          <w:rFonts w:ascii="Arial" w:hAnsi="Arial" w:cs="Arial"/>
          <w:sz w:val="20"/>
          <w:szCs w:val="20"/>
        </w:rPr>
      </w:pPr>
      <w:hyperlink r:id="rId7" w:history="1">
        <w:r w:rsidRPr="00CF71D2">
          <w:rPr>
            <w:rStyle w:val="Hiperpovezava"/>
            <w:rFonts w:ascii="Arial" w:hAnsi="Arial" w:cs="Arial"/>
            <w:sz w:val="20"/>
            <w:szCs w:val="20"/>
          </w:rPr>
          <w:t>https://ec.europa.eu/info/strategy/priorities-2019-2024/europe-fit-digital-age/european-industrial-strategy_sl</w:t>
        </w:r>
      </w:hyperlink>
    </w:p>
    <w:p w:rsidR="00151B58" w:rsidRPr="001234DB" w:rsidRDefault="00151B58" w:rsidP="00CF71D2">
      <w:pPr>
        <w:spacing w:after="0"/>
        <w:jc w:val="both"/>
        <w:rPr>
          <w:rFonts w:ascii="Arial" w:hAnsi="Arial" w:cs="Arial"/>
          <w:sz w:val="20"/>
          <w:szCs w:val="20"/>
        </w:rPr>
      </w:pPr>
      <w:r w:rsidRPr="001234DB">
        <w:rPr>
          <w:rFonts w:ascii="Arial" w:hAnsi="Arial" w:cs="Arial"/>
          <w:sz w:val="20"/>
          <w:szCs w:val="20"/>
        </w:rPr>
        <w:t>Pripravila:</w:t>
      </w:r>
    </w:p>
    <w:p w:rsidR="00151B58" w:rsidRPr="001234DB" w:rsidRDefault="00151B58" w:rsidP="00CF71D2">
      <w:pPr>
        <w:spacing w:after="0"/>
        <w:jc w:val="both"/>
        <w:rPr>
          <w:rFonts w:ascii="Arial" w:hAnsi="Arial" w:cs="Arial"/>
          <w:sz w:val="20"/>
          <w:szCs w:val="20"/>
        </w:rPr>
      </w:pPr>
      <w:r w:rsidRPr="001234DB">
        <w:rPr>
          <w:rFonts w:ascii="Arial" w:hAnsi="Arial" w:cs="Arial"/>
          <w:sz w:val="20"/>
          <w:szCs w:val="20"/>
        </w:rPr>
        <w:t>Darja Kocbek</w:t>
      </w:r>
    </w:p>
    <w:p w:rsidR="009E3CE1" w:rsidRDefault="009E3CE1" w:rsidP="00CF71D2">
      <w:pPr>
        <w:spacing w:after="0"/>
      </w:pPr>
    </w:p>
    <w:sectPr w:rsidR="009E3CE1" w:rsidSect="009E3C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82677"/>
    <w:multiLevelType w:val="hybridMultilevel"/>
    <w:tmpl w:val="C08EC3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6B77843"/>
    <w:multiLevelType w:val="multilevel"/>
    <w:tmpl w:val="CA62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1B58"/>
    <w:rsid w:val="001234DB"/>
    <w:rsid w:val="00151B58"/>
    <w:rsid w:val="009E3CE1"/>
    <w:rsid w:val="00CF71D2"/>
    <w:rsid w:val="00ED149D"/>
    <w:rsid w:val="00F724A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3CE1"/>
  </w:style>
  <w:style w:type="paragraph" w:styleId="Naslov2">
    <w:name w:val="heading 2"/>
    <w:basedOn w:val="Navaden"/>
    <w:next w:val="Navaden"/>
    <w:link w:val="Naslov2Znak"/>
    <w:uiPriority w:val="9"/>
    <w:semiHidden/>
    <w:unhideWhenUsed/>
    <w:qFormat/>
    <w:rsid w:val="00ED14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51B58"/>
    <w:rPr>
      <w:color w:val="0000FF"/>
      <w:u w:val="single"/>
    </w:rPr>
  </w:style>
  <w:style w:type="paragraph" w:styleId="Navadensplet">
    <w:name w:val="Normal (Web)"/>
    <w:basedOn w:val="Navaden"/>
    <w:uiPriority w:val="99"/>
    <w:unhideWhenUsed/>
    <w:rsid w:val="00151B5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F71D2"/>
    <w:pPr>
      <w:ind w:left="720"/>
      <w:contextualSpacing/>
    </w:pPr>
  </w:style>
  <w:style w:type="character" w:customStyle="1" w:styleId="Naslov2Znak">
    <w:name w:val="Naslov 2 Znak"/>
    <w:basedOn w:val="Privzetapisavaodstavka"/>
    <w:link w:val="Naslov2"/>
    <w:uiPriority w:val="9"/>
    <w:semiHidden/>
    <w:rsid w:val="00ED149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D14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1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7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strategy/priorities-2019-2024/europe-fit-digital-age/european-industrial-strategy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ocsroom/documents/4869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268</Words>
  <Characters>1529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2022-02-08T18:10:00Z</dcterms:created>
  <dcterms:modified xsi:type="dcterms:W3CDTF">2022-02-08T18:25:00Z</dcterms:modified>
</cp:coreProperties>
</file>