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9A" w:rsidRPr="00D5331F" w:rsidRDefault="00E73D9A" w:rsidP="00E73D9A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D9A" w:rsidRPr="00C446CC" w:rsidRDefault="00E73D9A" w:rsidP="00E73D9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E73D9A" w:rsidRPr="00C446CC" w:rsidRDefault="00E73D9A" w:rsidP="00E73D9A">
      <w:pPr>
        <w:pBdr>
          <w:bottom w:val="single" w:sz="6" w:space="1" w:color="auto"/>
        </w:pBdr>
        <w:tabs>
          <w:tab w:val="left" w:pos="3120"/>
        </w:tabs>
        <w:spacing w:after="0" w:afterAutospacing="0"/>
        <w:jc w:val="center"/>
        <w:rPr>
          <w:sz w:val="16"/>
          <w:szCs w:val="16"/>
        </w:rPr>
      </w:pPr>
    </w:p>
    <w:p w:rsidR="00E73D9A" w:rsidRDefault="00E73D9A" w:rsidP="00E73D9A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E73D9A" w:rsidRPr="00756713" w:rsidRDefault="00E73D9A" w:rsidP="00E73D9A">
      <w:pPr>
        <w:tabs>
          <w:tab w:val="left" w:pos="3120"/>
        </w:tabs>
        <w:spacing w:after="0" w:afterAutospacing="0"/>
        <w:jc w:val="center"/>
        <w:rPr>
          <w:b/>
        </w:rPr>
      </w:pPr>
      <w:r>
        <w:rPr>
          <w:b/>
        </w:rPr>
        <w:t>Občasna informacija članom 23</w:t>
      </w:r>
      <w:r w:rsidRPr="00756713">
        <w:rPr>
          <w:b/>
        </w:rPr>
        <w:t xml:space="preserve"> – 2019</w:t>
      </w:r>
    </w:p>
    <w:p w:rsidR="00E73D9A" w:rsidRPr="00756713" w:rsidRDefault="00E73D9A" w:rsidP="00E73D9A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E73D9A" w:rsidRPr="00756713" w:rsidRDefault="00E73D9A" w:rsidP="00E73D9A">
      <w:pPr>
        <w:tabs>
          <w:tab w:val="left" w:pos="3120"/>
        </w:tabs>
        <w:spacing w:after="0" w:afterAutospacing="0"/>
        <w:jc w:val="center"/>
        <w:rPr>
          <w:b/>
        </w:rPr>
      </w:pPr>
      <w:r w:rsidRPr="00756713">
        <w:rPr>
          <w:b/>
        </w:rPr>
        <w:t>11. februar 2019</w:t>
      </w:r>
    </w:p>
    <w:p w:rsidR="00E73D9A" w:rsidRPr="00756713" w:rsidRDefault="00E73D9A" w:rsidP="00E73D9A">
      <w:pPr>
        <w:spacing w:after="0" w:afterAutospacing="0"/>
        <w:rPr>
          <w:b/>
          <w:color w:val="993300"/>
          <w:sz w:val="32"/>
          <w:szCs w:val="32"/>
        </w:rPr>
      </w:pPr>
    </w:p>
    <w:p w:rsidR="00E73D9A" w:rsidRDefault="00E73D9A" w:rsidP="00E73D9A">
      <w:pPr>
        <w:spacing w:after="0" w:afterAutospacing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Objavljeno je šesto poročilo Evropske komisije o razvoju železniškega trga</w:t>
      </w:r>
    </w:p>
    <w:p w:rsidR="00E73D9A" w:rsidRDefault="00E73D9A" w:rsidP="00E73D9A">
      <w:pPr>
        <w:spacing w:after="0" w:afterAutospacing="0"/>
        <w:rPr>
          <w:rFonts w:ascii="Arial" w:hAnsi="Arial" w:cs="Arial"/>
          <w:b/>
          <w:i/>
        </w:rPr>
      </w:pPr>
    </w:p>
    <w:p w:rsidR="006A6659" w:rsidRPr="00837CED" w:rsidRDefault="006A6659" w:rsidP="00E73D9A">
      <w:pPr>
        <w:spacing w:after="0" w:afterAutospacing="0"/>
        <w:rPr>
          <w:rFonts w:ascii="Arial" w:hAnsi="Arial" w:cs="Arial"/>
          <w:b/>
          <w:i/>
        </w:rPr>
      </w:pPr>
      <w:r w:rsidRPr="00837CED">
        <w:rPr>
          <w:rFonts w:ascii="Arial" w:hAnsi="Arial" w:cs="Arial"/>
          <w:b/>
          <w:i/>
        </w:rPr>
        <w:t>Evropska komisija je objavila šesto poročilo o razvoju železniškega trga. V njem ugotavlja,   da so konkurenti nacionalnim operaterjem v obdobju od leta 2011 do 2016 v večini držav članic EU povečali tržni delež.  V letu 2016 so novi prevozniki v blagovnem prometu konkurirali nacionalnim operaterjem v vseh članicah EU, razen v Grčiji, na Irskem, v Litvi in Luksemburgu. V večini držav članic, kjer so opravljali storitve, so konkurenti imeli več kot 40-odstotni delež na trgu.</w:t>
      </w:r>
      <w:r w:rsidR="00D3482E" w:rsidRPr="00837CED">
        <w:rPr>
          <w:rFonts w:ascii="Arial" w:hAnsi="Arial" w:cs="Arial"/>
          <w:b/>
          <w:i/>
        </w:rPr>
        <w:t xml:space="preserve"> Na trgu za prevoz potnikov imajo nacionalni operaterji konkurenta le v polovici držav članic.</w:t>
      </w:r>
    </w:p>
    <w:p w:rsidR="00E73D9A" w:rsidRDefault="00E73D9A" w:rsidP="00837CED">
      <w:pPr>
        <w:rPr>
          <w:rFonts w:ascii="Arial" w:hAnsi="Arial" w:cs="Arial"/>
          <w:sz w:val="20"/>
          <w:szCs w:val="20"/>
        </w:rPr>
      </w:pPr>
    </w:p>
    <w:p w:rsidR="00E12612" w:rsidRPr="00837CED" w:rsidRDefault="00E12612" w:rsidP="00837CED">
      <w:pPr>
        <w:rPr>
          <w:rFonts w:ascii="Arial" w:hAnsi="Arial" w:cs="Arial"/>
          <w:b/>
          <w:sz w:val="20"/>
          <w:szCs w:val="20"/>
        </w:rPr>
      </w:pPr>
      <w:r w:rsidRPr="00837CED">
        <w:rPr>
          <w:rFonts w:ascii="Arial" w:hAnsi="Arial" w:cs="Arial"/>
          <w:b/>
          <w:sz w:val="20"/>
          <w:szCs w:val="20"/>
        </w:rPr>
        <w:t xml:space="preserve">Graf 1: Prikaz deleža posameznih oblik kopenskega </w:t>
      </w:r>
      <w:r w:rsidR="00DB7D4F" w:rsidRPr="00837CED">
        <w:rPr>
          <w:rFonts w:ascii="Arial" w:hAnsi="Arial" w:cs="Arial"/>
          <w:b/>
          <w:sz w:val="20"/>
          <w:szCs w:val="20"/>
        </w:rPr>
        <w:t xml:space="preserve">potniškega </w:t>
      </w:r>
      <w:r w:rsidRPr="00837CED">
        <w:rPr>
          <w:rFonts w:ascii="Arial" w:hAnsi="Arial" w:cs="Arial"/>
          <w:b/>
          <w:sz w:val="20"/>
          <w:szCs w:val="20"/>
        </w:rPr>
        <w:t xml:space="preserve">prometa po državah članicah v letu 2016 in prikaz zmanjšanja/povečanja deleža železniškega </w:t>
      </w:r>
      <w:r w:rsidR="00DB7D4F" w:rsidRPr="00837CED">
        <w:rPr>
          <w:rFonts w:ascii="Arial" w:hAnsi="Arial" w:cs="Arial"/>
          <w:b/>
          <w:sz w:val="20"/>
          <w:szCs w:val="20"/>
        </w:rPr>
        <w:t xml:space="preserve">potniškega </w:t>
      </w:r>
      <w:r w:rsidRPr="00837CED">
        <w:rPr>
          <w:rFonts w:ascii="Arial" w:hAnsi="Arial" w:cs="Arial"/>
          <w:b/>
          <w:sz w:val="20"/>
          <w:szCs w:val="20"/>
        </w:rPr>
        <w:t>prometa v obdobju 2011-2016</w:t>
      </w:r>
    </w:p>
    <w:p w:rsidR="00E12612" w:rsidRPr="00837CED" w:rsidRDefault="00E12612" w:rsidP="00837CED">
      <w:p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22434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7CED">
        <w:rPr>
          <w:rFonts w:ascii="Arial" w:hAnsi="Arial" w:cs="Arial"/>
          <w:sz w:val="20"/>
          <w:szCs w:val="20"/>
        </w:rPr>
        <w:t>Vir: Poročilo</w:t>
      </w:r>
    </w:p>
    <w:p w:rsidR="00E73D9A" w:rsidRDefault="00E73D9A" w:rsidP="00837CED">
      <w:p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lastRenderedPageBreak/>
        <w:t>Slovenija je med državami članicami EU, kjer se je med letoma 2011 in 2016 delež železniškega potniškega prometa  v kopenskem prometu zmanjšal. V EU se je delež železniškega potniškega prometa v enakem obdobju povečal s na 7,6 odstotka. Po podatkih za leto 2016 je Slovenija med članicami EU, kjer je delež železniškega potniškega prometa v kopenskem prometu med najnižjimi.</w:t>
      </w:r>
    </w:p>
    <w:p w:rsidR="003E6B4D" w:rsidRPr="00837CED" w:rsidRDefault="003E6B4D" w:rsidP="00837CED">
      <w:p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t xml:space="preserve">Delež železnice pri tovornem kopenskem prometu se je v EU med letoma 2011 in 2016 znižal, a je ostal okrog 17 odstotkov.  Slovenija je </w:t>
      </w:r>
      <w:r w:rsidR="00DB7D4F" w:rsidRPr="00837CED">
        <w:rPr>
          <w:rFonts w:ascii="Arial" w:hAnsi="Arial" w:cs="Arial"/>
          <w:sz w:val="20"/>
          <w:szCs w:val="20"/>
        </w:rPr>
        <w:t xml:space="preserve">na petem mestu </w:t>
      </w:r>
      <w:r w:rsidRPr="00837CED">
        <w:rPr>
          <w:rFonts w:ascii="Arial" w:hAnsi="Arial" w:cs="Arial"/>
          <w:sz w:val="20"/>
          <w:szCs w:val="20"/>
        </w:rPr>
        <w:t>med državami, kjer je delež železniškega prometa v kopenskem prometu</w:t>
      </w:r>
      <w:r w:rsidR="00DB7D4F" w:rsidRPr="00837CED">
        <w:rPr>
          <w:rFonts w:ascii="Arial" w:hAnsi="Arial" w:cs="Arial"/>
          <w:sz w:val="20"/>
          <w:szCs w:val="20"/>
        </w:rPr>
        <w:t xml:space="preserve"> med najvišjimi v EU. </w:t>
      </w:r>
    </w:p>
    <w:p w:rsidR="00C66103" w:rsidRPr="00837CED" w:rsidRDefault="00C66103" w:rsidP="00837CED">
      <w:pPr>
        <w:rPr>
          <w:rFonts w:ascii="Arial" w:hAnsi="Arial" w:cs="Arial"/>
          <w:b/>
          <w:sz w:val="20"/>
          <w:szCs w:val="20"/>
        </w:rPr>
      </w:pPr>
      <w:r w:rsidRPr="00837CED">
        <w:rPr>
          <w:rFonts w:ascii="Arial" w:hAnsi="Arial" w:cs="Arial"/>
          <w:b/>
          <w:sz w:val="20"/>
          <w:szCs w:val="20"/>
        </w:rPr>
        <w:t>Graf 2: Prikaz deleža posameznih oblik kopenskega tovornega prometa po državah članicah v letu 2016 in prikaz zmanjšanja/povečanja deleža železniškega tovornega prometa v obdobju 2011-2016</w:t>
      </w:r>
    </w:p>
    <w:p w:rsidR="00C66103" w:rsidRPr="00837CED" w:rsidRDefault="00C66103" w:rsidP="00837CED">
      <w:p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428794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03" w:rsidRPr="00837CED" w:rsidRDefault="00C66103" w:rsidP="00837CED">
      <w:p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t>Vir: Poročilo</w:t>
      </w:r>
    </w:p>
    <w:p w:rsidR="002D0190" w:rsidRPr="00837CED" w:rsidRDefault="002D0190" w:rsidP="00837CED">
      <w:pPr>
        <w:rPr>
          <w:rFonts w:ascii="Arial" w:hAnsi="Arial" w:cs="Arial"/>
          <w:b/>
          <w:sz w:val="20"/>
          <w:szCs w:val="20"/>
        </w:rPr>
      </w:pPr>
      <w:r w:rsidRPr="00837CED">
        <w:rPr>
          <w:rFonts w:ascii="Arial" w:hAnsi="Arial" w:cs="Arial"/>
          <w:b/>
          <w:sz w:val="20"/>
          <w:szCs w:val="20"/>
        </w:rPr>
        <w:t>Koristne informacije:</w:t>
      </w:r>
    </w:p>
    <w:p w:rsidR="002D0190" w:rsidRPr="00837CED" w:rsidRDefault="002D0190" w:rsidP="00837CE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t>Poročilo:</w:t>
      </w:r>
    </w:p>
    <w:p w:rsidR="002D0190" w:rsidRPr="00837CED" w:rsidRDefault="002D0190" w:rsidP="00837CED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837CED">
          <w:rPr>
            <w:rStyle w:val="Hiperpovezava"/>
            <w:rFonts w:ascii="Arial" w:hAnsi="Arial" w:cs="Arial"/>
            <w:sz w:val="20"/>
            <w:szCs w:val="20"/>
          </w:rPr>
          <w:t>https://ec.europa.eu/transport/sites/transport/files/staff_working_document_-_6th_rmms_report.pdf</w:t>
        </w:r>
      </w:hyperlink>
    </w:p>
    <w:p w:rsidR="002D0190" w:rsidRPr="00837CED" w:rsidRDefault="002D0190" w:rsidP="00837CED">
      <w:pPr>
        <w:spacing w:after="0" w:afterAutospacing="0"/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t>Pripravila:</w:t>
      </w:r>
    </w:p>
    <w:p w:rsidR="002D0190" w:rsidRPr="00837CED" w:rsidRDefault="002D0190" w:rsidP="00837CED">
      <w:pPr>
        <w:spacing w:after="0" w:afterAutospacing="0"/>
        <w:rPr>
          <w:rFonts w:ascii="Arial" w:hAnsi="Arial" w:cs="Arial"/>
          <w:sz w:val="20"/>
          <w:szCs w:val="20"/>
        </w:rPr>
      </w:pPr>
      <w:r w:rsidRPr="00837CED">
        <w:rPr>
          <w:rFonts w:ascii="Arial" w:hAnsi="Arial" w:cs="Arial"/>
          <w:sz w:val="20"/>
          <w:szCs w:val="20"/>
        </w:rPr>
        <w:t>Darja Kocbek</w:t>
      </w:r>
    </w:p>
    <w:sectPr w:rsidR="002D0190" w:rsidRPr="00837CE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028B"/>
    <w:multiLevelType w:val="hybridMultilevel"/>
    <w:tmpl w:val="6C8217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659"/>
    <w:rsid w:val="002D0190"/>
    <w:rsid w:val="003A5923"/>
    <w:rsid w:val="003E6B4D"/>
    <w:rsid w:val="00500066"/>
    <w:rsid w:val="006A6659"/>
    <w:rsid w:val="00756248"/>
    <w:rsid w:val="00837CED"/>
    <w:rsid w:val="009618FB"/>
    <w:rsid w:val="00B459D4"/>
    <w:rsid w:val="00C66103"/>
    <w:rsid w:val="00D3482E"/>
    <w:rsid w:val="00DB7D4F"/>
    <w:rsid w:val="00E12612"/>
    <w:rsid w:val="00E7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261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261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D019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37CE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7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sites/transport/files/staff_working_document_-_6th_rmms_repor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2019-02-06T16:49:00Z</dcterms:created>
  <dcterms:modified xsi:type="dcterms:W3CDTF">2019-02-06T18:26:00Z</dcterms:modified>
</cp:coreProperties>
</file>