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B4" w:rsidRPr="00467345" w:rsidRDefault="00DA6BB4" w:rsidP="00DA6BB4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BB4" w:rsidRPr="00301C78" w:rsidRDefault="00DA6BB4" w:rsidP="00DA6BB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A6BB4" w:rsidRPr="00083714" w:rsidRDefault="00DA6BB4" w:rsidP="00DA6BB4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DA6BB4" w:rsidRDefault="00DA6BB4" w:rsidP="00DA6BB4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21 </w:t>
      </w:r>
      <w:r w:rsidRPr="00083714">
        <w:rPr>
          <w:b/>
        </w:rPr>
        <w:t>– 20</w:t>
      </w:r>
      <w:r>
        <w:rPr>
          <w:b/>
        </w:rPr>
        <w:t>23</w:t>
      </w:r>
    </w:p>
    <w:p w:rsidR="00DA6BB4" w:rsidRDefault="00DA6BB4" w:rsidP="00DA6BB4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06. februar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5F6761" w:rsidRDefault="00DA6BB4" w:rsidP="00DA6BB4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Industrijski načrt za pospešitev prehoda na </w:t>
      </w:r>
      <w:proofErr w:type="spellStart"/>
      <w:r>
        <w:rPr>
          <w:b/>
          <w:color w:val="993300"/>
          <w:sz w:val="32"/>
          <w:szCs w:val="32"/>
        </w:rPr>
        <w:t>ogljično</w:t>
      </w:r>
      <w:proofErr w:type="spellEnd"/>
      <w:r>
        <w:rPr>
          <w:b/>
          <w:color w:val="993300"/>
          <w:sz w:val="32"/>
          <w:szCs w:val="32"/>
        </w:rPr>
        <w:t xml:space="preserve"> nevtralnost in povečanje konkurenčnosti evropske industrije</w:t>
      </w:r>
    </w:p>
    <w:p w:rsidR="002C00DA" w:rsidRPr="00CA0E38" w:rsidRDefault="002C00DA" w:rsidP="00CA0E38">
      <w:pPr>
        <w:jc w:val="both"/>
        <w:rPr>
          <w:rFonts w:ascii="Arial" w:hAnsi="Arial" w:cs="Arial"/>
          <w:b/>
          <w:i/>
        </w:rPr>
      </w:pPr>
      <w:r w:rsidRPr="00CA0E38">
        <w:rPr>
          <w:rFonts w:ascii="Arial" w:hAnsi="Arial" w:cs="Arial"/>
          <w:b/>
          <w:i/>
        </w:rPr>
        <w:t>Evropska komisija je predstavila svoj industrijski načrt v okviru zelenega dogovor</w:t>
      </w:r>
      <w:r w:rsidR="00361D7E" w:rsidRPr="00CA0E38">
        <w:rPr>
          <w:rFonts w:ascii="Arial" w:hAnsi="Arial" w:cs="Arial"/>
          <w:b/>
          <w:i/>
        </w:rPr>
        <w:t>a</w:t>
      </w:r>
      <w:r w:rsidR="00CA0E38" w:rsidRPr="00CA0E38">
        <w:rPr>
          <w:rFonts w:ascii="Arial" w:hAnsi="Arial" w:cs="Arial"/>
          <w:b/>
          <w:i/>
        </w:rPr>
        <w:t xml:space="preserve"> s katerim želi pospešiti prehod na </w:t>
      </w:r>
      <w:proofErr w:type="spellStart"/>
      <w:r w:rsidR="00CA0E38" w:rsidRPr="00CA0E38">
        <w:rPr>
          <w:rFonts w:ascii="Arial" w:hAnsi="Arial" w:cs="Arial"/>
          <w:b/>
          <w:i/>
        </w:rPr>
        <w:t>ogljično</w:t>
      </w:r>
      <w:proofErr w:type="spellEnd"/>
      <w:r w:rsidR="00CA0E38" w:rsidRPr="00CA0E38">
        <w:rPr>
          <w:rFonts w:ascii="Arial" w:hAnsi="Arial" w:cs="Arial"/>
          <w:b/>
          <w:i/>
        </w:rPr>
        <w:t xml:space="preserve"> nevtralnost in povečati konkurenčnost evropske industrije</w:t>
      </w:r>
      <w:r w:rsidRPr="00CA0E38">
        <w:rPr>
          <w:rFonts w:ascii="Arial" w:hAnsi="Arial" w:cs="Arial"/>
          <w:b/>
          <w:i/>
        </w:rPr>
        <w:t>.</w:t>
      </w:r>
      <w:r w:rsidR="00361D7E" w:rsidRPr="00CA0E38">
        <w:rPr>
          <w:rFonts w:ascii="Arial" w:hAnsi="Arial" w:cs="Arial"/>
          <w:b/>
          <w:i/>
        </w:rPr>
        <w:t xml:space="preserve"> </w:t>
      </w:r>
      <w:r w:rsidRPr="00CA0E38">
        <w:rPr>
          <w:rFonts w:ascii="Arial" w:hAnsi="Arial" w:cs="Arial"/>
          <w:b/>
          <w:i/>
        </w:rPr>
        <w:t xml:space="preserve">Cilj načrta je </w:t>
      </w:r>
      <w:r w:rsidR="00994522" w:rsidRPr="00CA0E38">
        <w:rPr>
          <w:rFonts w:ascii="Arial" w:hAnsi="Arial" w:cs="Arial"/>
          <w:b/>
          <w:i/>
        </w:rPr>
        <w:t xml:space="preserve">v EU </w:t>
      </w:r>
      <w:r w:rsidRPr="00CA0E38">
        <w:rPr>
          <w:rFonts w:ascii="Arial" w:hAnsi="Arial" w:cs="Arial"/>
          <w:b/>
          <w:i/>
        </w:rPr>
        <w:t>zagotoviti bolj</w:t>
      </w:r>
      <w:r w:rsidR="00994522" w:rsidRPr="00CA0E38">
        <w:rPr>
          <w:rFonts w:ascii="Arial" w:hAnsi="Arial" w:cs="Arial"/>
          <w:b/>
          <w:i/>
        </w:rPr>
        <w:t>še</w:t>
      </w:r>
      <w:r w:rsidRPr="00CA0E38">
        <w:rPr>
          <w:rFonts w:ascii="Arial" w:hAnsi="Arial" w:cs="Arial"/>
          <w:b/>
          <w:i/>
        </w:rPr>
        <w:t xml:space="preserve"> podporno okolje za proizvodne zmogljivosti tehnologij in izdelkov z neto ničelno stopnjo </w:t>
      </w:r>
      <w:r w:rsidR="00994522" w:rsidRPr="00CA0E38">
        <w:rPr>
          <w:rFonts w:ascii="Arial" w:hAnsi="Arial" w:cs="Arial"/>
          <w:b/>
          <w:i/>
        </w:rPr>
        <w:t>izpustov</w:t>
      </w:r>
      <w:r w:rsidRPr="00CA0E38">
        <w:rPr>
          <w:rFonts w:ascii="Arial" w:hAnsi="Arial" w:cs="Arial"/>
          <w:b/>
          <w:i/>
        </w:rPr>
        <w:t xml:space="preserve">. Načrt temelji na štirih stebrih: predvidljivo in poenostavljeno </w:t>
      </w:r>
      <w:proofErr w:type="spellStart"/>
      <w:r w:rsidRPr="00CA0E38">
        <w:rPr>
          <w:rFonts w:ascii="Arial" w:hAnsi="Arial" w:cs="Arial"/>
          <w:b/>
          <w:i/>
        </w:rPr>
        <w:t>regulativno</w:t>
      </w:r>
      <w:proofErr w:type="spellEnd"/>
      <w:r w:rsidRPr="00CA0E38">
        <w:rPr>
          <w:rFonts w:ascii="Arial" w:hAnsi="Arial" w:cs="Arial"/>
          <w:b/>
          <w:i/>
        </w:rPr>
        <w:t xml:space="preserve"> okolje, pospešitev dostopa do financiranja, izboljšanje znanj in spretnosti ter odprta trgovina za odporne dobavne verige. </w:t>
      </w:r>
    </w:p>
    <w:p w:rsidR="00994522" w:rsidRPr="00CA0E38" w:rsidRDefault="00994522" w:rsidP="00D41506">
      <w:pPr>
        <w:jc w:val="both"/>
        <w:rPr>
          <w:rFonts w:ascii="Arial" w:hAnsi="Arial" w:cs="Arial"/>
          <w:b/>
          <w:sz w:val="20"/>
          <w:szCs w:val="20"/>
        </w:rPr>
      </w:pPr>
      <w:r w:rsidRPr="00CA0E38">
        <w:rPr>
          <w:rFonts w:ascii="Arial" w:hAnsi="Arial" w:cs="Arial"/>
          <w:b/>
          <w:sz w:val="20"/>
          <w:szCs w:val="20"/>
        </w:rPr>
        <w:t>Tabela 1: Štirje stebri industrijskega načrta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994522" w:rsidRPr="00D41506" w:rsidTr="00994522">
        <w:tc>
          <w:tcPr>
            <w:tcW w:w="4606" w:type="dxa"/>
          </w:tcPr>
          <w:p w:rsidR="00994522" w:rsidRPr="00CA0E38" w:rsidRDefault="00994522" w:rsidP="00D415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0E38">
              <w:rPr>
                <w:rFonts w:ascii="Arial" w:hAnsi="Arial" w:cs="Arial"/>
                <w:b/>
                <w:sz w:val="20"/>
                <w:szCs w:val="20"/>
              </w:rPr>
              <w:t>Steber</w:t>
            </w:r>
          </w:p>
        </w:tc>
        <w:tc>
          <w:tcPr>
            <w:tcW w:w="4606" w:type="dxa"/>
          </w:tcPr>
          <w:p w:rsidR="00994522" w:rsidRPr="00CA0E38" w:rsidRDefault="00994522" w:rsidP="00D415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0E38">
              <w:rPr>
                <w:rFonts w:ascii="Arial" w:hAnsi="Arial" w:cs="Arial"/>
                <w:b/>
                <w:sz w:val="20"/>
                <w:szCs w:val="20"/>
              </w:rPr>
              <w:t>Ukrepi in pobude</w:t>
            </w:r>
          </w:p>
        </w:tc>
      </w:tr>
      <w:tr w:rsidR="00994522" w:rsidRPr="00D41506" w:rsidTr="00994522">
        <w:tc>
          <w:tcPr>
            <w:tcW w:w="4606" w:type="dxa"/>
          </w:tcPr>
          <w:p w:rsidR="00994522" w:rsidRPr="00CA0E38" w:rsidRDefault="00994522" w:rsidP="00CA0E38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0E38">
              <w:rPr>
                <w:rFonts w:ascii="Arial" w:hAnsi="Arial" w:cs="Arial"/>
                <w:b/>
                <w:sz w:val="20"/>
                <w:szCs w:val="20"/>
              </w:rPr>
              <w:t xml:space="preserve">Poenostavitev </w:t>
            </w:r>
            <w:proofErr w:type="spellStart"/>
            <w:r w:rsidRPr="00CA0E38">
              <w:rPr>
                <w:rFonts w:ascii="Arial" w:hAnsi="Arial" w:cs="Arial"/>
                <w:b/>
                <w:sz w:val="20"/>
                <w:szCs w:val="20"/>
              </w:rPr>
              <w:t>regulativnega</w:t>
            </w:r>
            <w:proofErr w:type="spellEnd"/>
            <w:r w:rsidRPr="00CA0E38">
              <w:rPr>
                <w:rFonts w:ascii="Arial" w:hAnsi="Arial" w:cs="Arial"/>
                <w:b/>
                <w:sz w:val="20"/>
                <w:szCs w:val="20"/>
              </w:rPr>
              <w:t xml:space="preserve"> okolja</w:t>
            </w:r>
          </w:p>
        </w:tc>
        <w:tc>
          <w:tcPr>
            <w:tcW w:w="4606" w:type="dxa"/>
          </w:tcPr>
          <w:p w:rsidR="00CA0E38" w:rsidRDefault="00D41506" w:rsidP="00D41506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0E38">
              <w:rPr>
                <w:rFonts w:ascii="Arial" w:hAnsi="Arial" w:cs="Arial"/>
                <w:sz w:val="20"/>
                <w:szCs w:val="20"/>
              </w:rPr>
              <w:t>a</w:t>
            </w:r>
            <w:r w:rsidR="00994522" w:rsidRPr="00CA0E38">
              <w:rPr>
                <w:rFonts w:ascii="Arial" w:hAnsi="Arial" w:cs="Arial"/>
                <w:sz w:val="20"/>
                <w:szCs w:val="20"/>
              </w:rPr>
              <w:t>kt o neto ničelni industriji</w:t>
            </w:r>
          </w:p>
          <w:p w:rsidR="00CA0E38" w:rsidRDefault="00D41506" w:rsidP="00D41506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0E38">
              <w:rPr>
                <w:rFonts w:ascii="Arial" w:hAnsi="Arial" w:cs="Arial"/>
                <w:sz w:val="20"/>
                <w:szCs w:val="20"/>
              </w:rPr>
              <w:t>a</w:t>
            </w:r>
            <w:r w:rsidR="00994522" w:rsidRPr="00CA0E38">
              <w:rPr>
                <w:rFonts w:ascii="Arial" w:hAnsi="Arial" w:cs="Arial"/>
                <w:sz w:val="20"/>
                <w:szCs w:val="20"/>
              </w:rPr>
              <w:t xml:space="preserve">kt o kritičnih surovinah </w:t>
            </w:r>
          </w:p>
          <w:p w:rsidR="00CA0E38" w:rsidRDefault="00D41506" w:rsidP="00CA0E38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0E38">
              <w:rPr>
                <w:rFonts w:ascii="Arial" w:hAnsi="Arial" w:cs="Arial"/>
                <w:sz w:val="20"/>
                <w:szCs w:val="20"/>
              </w:rPr>
              <w:t>r</w:t>
            </w:r>
            <w:r w:rsidR="00994522" w:rsidRPr="00CA0E38">
              <w:rPr>
                <w:rFonts w:ascii="Arial" w:hAnsi="Arial" w:cs="Arial"/>
                <w:sz w:val="20"/>
                <w:szCs w:val="20"/>
              </w:rPr>
              <w:t>eforma zasnove trga z električno energijo</w:t>
            </w:r>
          </w:p>
          <w:p w:rsidR="00994522" w:rsidRPr="00CA0E38" w:rsidRDefault="00CA0E38" w:rsidP="00CA0E38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0E38">
              <w:rPr>
                <w:rFonts w:ascii="Arial" w:hAnsi="Arial" w:cs="Arial"/>
                <w:color w:val="000000"/>
                <w:sz w:val="20"/>
                <w:szCs w:val="20"/>
              </w:rPr>
              <w:t>ukrepi v zvezi z javnimi naročili, baterijami, okoljsko primerno zasnovo in toplotnimi črpalkami</w:t>
            </w:r>
            <w:r w:rsidR="00994522" w:rsidRPr="00CA0E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4522" w:rsidRPr="00D41506" w:rsidTr="00994522">
        <w:tc>
          <w:tcPr>
            <w:tcW w:w="4606" w:type="dxa"/>
          </w:tcPr>
          <w:p w:rsidR="00994522" w:rsidRPr="00CA0E38" w:rsidRDefault="00994522" w:rsidP="00CA0E38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0E38">
              <w:rPr>
                <w:rFonts w:ascii="Arial" w:hAnsi="Arial" w:cs="Arial"/>
                <w:b/>
                <w:sz w:val="20"/>
                <w:szCs w:val="20"/>
              </w:rPr>
              <w:t>Spodbuda za naložbe in financiranje proizvodnje čiste tehnologije v Evropi</w:t>
            </w:r>
          </w:p>
        </w:tc>
        <w:tc>
          <w:tcPr>
            <w:tcW w:w="4606" w:type="dxa"/>
          </w:tcPr>
          <w:p w:rsidR="00CA0E38" w:rsidRDefault="00994522" w:rsidP="00D41506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0E38">
              <w:rPr>
                <w:rFonts w:ascii="Arial" w:hAnsi="Arial" w:cs="Arial"/>
                <w:sz w:val="20"/>
                <w:szCs w:val="20"/>
              </w:rPr>
              <w:t>prilagoditev pravil o državni pomoči za pospešitev in poenostavitev dodeljevanja pomoči</w:t>
            </w:r>
          </w:p>
          <w:p w:rsidR="00994522" w:rsidRPr="00CA0E38" w:rsidRDefault="00994522" w:rsidP="00D41506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0E38">
              <w:rPr>
                <w:rFonts w:ascii="Arial" w:hAnsi="Arial" w:cs="Arial"/>
                <w:sz w:val="20"/>
                <w:szCs w:val="20"/>
              </w:rPr>
              <w:t>ustanovitev evropskega neodvisnega sklada kot strukturna rešitev za povečanje sredstev</w:t>
            </w:r>
          </w:p>
        </w:tc>
      </w:tr>
      <w:tr w:rsidR="00994522" w:rsidRPr="00D41506" w:rsidTr="00994522">
        <w:tc>
          <w:tcPr>
            <w:tcW w:w="4606" w:type="dxa"/>
          </w:tcPr>
          <w:p w:rsidR="00994522" w:rsidRPr="00CA0E38" w:rsidRDefault="00994522" w:rsidP="00CA0E38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0E38">
              <w:rPr>
                <w:rFonts w:ascii="Arial" w:hAnsi="Arial" w:cs="Arial"/>
                <w:b/>
                <w:sz w:val="20"/>
                <w:szCs w:val="20"/>
              </w:rPr>
              <w:t>Razvoj znanj in spretnosti, potrebnih za zeleni prehod</w:t>
            </w:r>
          </w:p>
        </w:tc>
        <w:tc>
          <w:tcPr>
            <w:tcW w:w="4606" w:type="dxa"/>
          </w:tcPr>
          <w:p w:rsidR="00994522" w:rsidRPr="00CA0E38" w:rsidRDefault="00994522" w:rsidP="00CA0E38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0E38">
              <w:rPr>
                <w:rFonts w:ascii="Arial" w:hAnsi="Arial" w:cs="Arial"/>
                <w:sz w:val="20"/>
                <w:szCs w:val="20"/>
              </w:rPr>
              <w:t>ustanovitev akademij za neto ničelno industrijo</w:t>
            </w:r>
          </w:p>
        </w:tc>
      </w:tr>
      <w:tr w:rsidR="00994522" w:rsidRPr="00D41506" w:rsidTr="00994522">
        <w:tc>
          <w:tcPr>
            <w:tcW w:w="4606" w:type="dxa"/>
          </w:tcPr>
          <w:p w:rsidR="00994522" w:rsidRPr="00CA0E38" w:rsidRDefault="00994522" w:rsidP="00CA0E38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0E38">
              <w:rPr>
                <w:rFonts w:ascii="Arial" w:hAnsi="Arial" w:cs="Arial"/>
                <w:b/>
                <w:sz w:val="20"/>
                <w:szCs w:val="20"/>
              </w:rPr>
              <w:t>Sodelovanje in prizadevanja za zeleni prehod na globalni ravni</w:t>
            </w:r>
          </w:p>
        </w:tc>
        <w:tc>
          <w:tcPr>
            <w:tcW w:w="4606" w:type="dxa"/>
          </w:tcPr>
          <w:p w:rsidR="00CA0E38" w:rsidRDefault="00994522" w:rsidP="00D41506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0E38">
              <w:rPr>
                <w:rFonts w:ascii="Arial" w:hAnsi="Arial" w:cs="Arial"/>
                <w:sz w:val="20"/>
                <w:szCs w:val="20"/>
              </w:rPr>
              <w:t>spodbujanje sporazumov EU o prosti trgovini in drugih oblik sodelovanja v podporo zelenemu prehodu</w:t>
            </w:r>
          </w:p>
          <w:p w:rsidR="00D41506" w:rsidRPr="00CA0E38" w:rsidRDefault="00D41506" w:rsidP="00D41506">
            <w:pPr>
              <w:pStyle w:val="Odstavekseznam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0E38">
              <w:rPr>
                <w:rFonts w:ascii="Arial" w:hAnsi="Arial" w:cs="Arial"/>
                <w:sz w:val="20"/>
                <w:szCs w:val="20"/>
              </w:rPr>
              <w:t>ukrepi za zaščito evropske industrije pred nepoštenimi trgovinskimi praksami v sektorju čiste tehnologije</w:t>
            </w:r>
          </w:p>
        </w:tc>
      </w:tr>
    </w:tbl>
    <w:p w:rsidR="00994522" w:rsidRPr="00D41506" w:rsidRDefault="00D41506" w:rsidP="00D41506">
      <w:pPr>
        <w:jc w:val="both"/>
        <w:rPr>
          <w:rFonts w:ascii="Arial" w:hAnsi="Arial" w:cs="Arial"/>
          <w:sz w:val="20"/>
          <w:szCs w:val="20"/>
        </w:rPr>
      </w:pPr>
      <w:r w:rsidRPr="00D41506">
        <w:rPr>
          <w:rFonts w:ascii="Arial" w:hAnsi="Arial" w:cs="Arial"/>
          <w:sz w:val="20"/>
          <w:szCs w:val="20"/>
        </w:rPr>
        <w:t>Vir: Evropska komisija</w:t>
      </w:r>
    </w:p>
    <w:p w:rsidR="00DA6BB4" w:rsidRDefault="00DA6BB4" w:rsidP="00D41506">
      <w:pPr>
        <w:jc w:val="both"/>
        <w:rPr>
          <w:rFonts w:ascii="Arial" w:hAnsi="Arial" w:cs="Arial"/>
          <w:b/>
          <w:sz w:val="20"/>
          <w:szCs w:val="20"/>
        </w:rPr>
      </w:pPr>
    </w:p>
    <w:p w:rsidR="000A4784" w:rsidRPr="00CA0E38" w:rsidRDefault="00D41506" w:rsidP="00D41506">
      <w:pPr>
        <w:jc w:val="both"/>
        <w:rPr>
          <w:rFonts w:ascii="Arial" w:hAnsi="Arial" w:cs="Arial"/>
          <w:b/>
          <w:sz w:val="20"/>
          <w:szCs w:val="20"/>
        </w:rPr>
      </w:pPr>
      <w:r w:rsidRPr="00CA0E38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D41506" w:rsidRPr="00CA0E38" w:rsidRDefault="00D41506" w:rsidP="00CA0E38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A0E38">
        <w:rPr>
          <w:rFonts w:ascii="Arial" w:hAnsi="Arial" w:cs="Arial"/>
          <w:sz w:val="20"/>
          <w:szCs w:val="20"/>
        </w:rPr>
        <w:t>Industrijski načrt:</w:t>
      </w:r>
    </w:p>
    <w:p w:rsidR="00D41506" w:rsidRPr="00CA0E38" w:rsidRDefault="00D41506" w:rsidP="00CA0E38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A0E38">
          <w:rPr>
            <w:rStyle w:val="Hiperpovezava"/>
            <w:rFonts w:ascii="Arial" w:hAnsi="Arial" w:cs="Arial"/>
            <w:sz w:val="20"/>
            <w:szCs w:val="20"/>
          </w:rPr>
          <w:t>https://commission.europa.eu/document/41514677-9598-4d89-a572-abe21cb037f4_sl</w:t>
        </w:r>
      </w:hyperlink>
    </w:p>
    <w:p w:rsidR="00D41506" w:rsidRPr="00CA0E38" w:rsidRDefault="00D41506" w:rsidP="00CA0E38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CA0E38">
        <w:rPr>
          <w:rFonts w:ascii="Arial" w:hAnsi="Arial" w:cs="Arial"/>
          <w:sz w:val="20"/>
          <w:szCs w:val="20"/>
        </w:rPr>
        <w:t xml:space="preserve">Evropska industrijska </w:t>
      </w:r>
      <w:proofErr w:type="spellStart"/>
      <w:r w:rsidRPr="00CA0E38">
        <w:rPr>
          <w:rFonts w:ascii="Arial" w:hAnsi="Arial" w:cs="Arial"/>
          <w:sz w:val="20"/>
          <w:szCs w:val="20"/>
        </w:rPr>
        <w:t>strsategija</w:t>
      </w:r>
      <w:proofErr w:type="spellEnd"/>
      <w:r w:rsidRPr="00CA0E38">
        <w:rPr>
          <w:rFonts w:ascii="Arial" w:hAnsi="Arial" w:cs="Arial"/>
          <w:sz w:val="20"/>
          <w:szCs w:val="20"/>
        </w:rPr>
        <w:t>:</w:t>
      </w:r>
    </w:p>
    <w:p w:rsidR="00D41506" w:rsidRPr="00CA0E38" w:rsidRDefault="00D41506" w:rsidP="00CA0E38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CA0E38">
          <w:rPr>
            <w:rStyle w:val="Hiperpovezava"/>
            <w:rFonts w:ascii="Arial" w:hAnsi="Arial" w:cs="Arial"/>
            <w:sz w:val="20"/>
            <w:szCs w:val="20"/>
          </w:rPr>
          <w:t>https://commission.europa.eu/strategy-and-policy/priorities-2019-2024/europe-fit-digital-age/european-industrial-strategy_sl</w:t>
        </w:r>
      </w:hyperlink>
    </w:p>
    <w:p w:rsidR="00CA0E38" w:rsidRDefault="00D41506" w:rsidP="00CA0E3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1506">
        <w:rPr>
          <w:rFonts w:ascii="Arial" w:hAnsi="Arial" w:cs="Arial"/>
          <w:sz w:val="20"/>
          <w:szCs w:val="20"/>
        </w:rPr>
        <w:t>Pripravila:</w:t>
      </w:r>
    </w:p>
    <w:p w:rsidR="00D41506" w:rsidRPr="00D41506" w:rsidRDefault="00D41506" w:rsidP="00CA0E3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1506">
        <w:rPr>
          <w:rFonts w:ascii="Arial" w:hAnsi="Arial" w:cs="Arial"/>
          <w:sz w:val="20"/>
          <w:szCs w:val="20"/>
        </w:rPr>
        <w:t>Darja Kocbek</w:t>
      </w:r>
    </w:p>
    <w:p w:rsidR="00D41506" w:rsidRPr="00D41506" w:rsidRDefault="00D41506" w:rsidP="00CA0E38">
      <w:pPr>
        <w:pStyle w:val="yiv3181114452msonormal"/>
        <w:spacing w:before="0" w:beforeAutospacing="0" w:after="0" w:afterAutospacing="0"/>
        <w:jc w:val="both"/>
        <w:rPr>
          <w:rFonts w:ascii="Helvetica" w:hAnsi="Helvetica"/>
          <w:color w:val="000000"/>
          <w:sz w:val="20"/>
          <w:szCs w:val="20"/>
        </w:rPr>
      </w:pPr>
    </w:p>
    <w:sectPr w:rsidR="00D41506" w:rsidRPr="00D41506" w:rsidSect="000A4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700E"/>
    <w:multiLevelType w:val="hybridMultilevel"/>
    <w:tmpl w:val="D69A5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B4394"/>
    <w:multiLevelType w:val="hybridMultilevel"/>
    <w:tmpl w:val="B4E41F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C41B4"/>
    <w:multiLevelType w:val="hybridMultilevel"/>
    <w:tmpl w:val="D97A9C86"/>
    <w:lvl w:ilvl="0" w:tplc="9F94A364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95487"/>
    <w:multiLevelType w:val="hybridMultilevel"/>
    <w:tmpl w:val="EFD68EC8"/>
    <w:lvl w:ilvl="0" w:tplc="F73091C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32BE1"/>
    <w:multiLevelType w:val="hybridMultilevel"/>
    <w:tmpl w:val="18E0D000"/>
    <w:lvl w:ilvl="0" w:tplc="F73091C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64269"/>
    <w:multiLevelType w:val="hybridMultilevel"/>
    <w:tmpl w:val="D17874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00DA"/>
    <w:rsid w:val="000A4784"/>
    <w:rsid w:val="002C00DA"/>
    <w:rsid w:val="00361D7E"/>
    <w:rsid w:val="005F6761"/>
    <w:rsid w:val="00994522"/>
    <w:rsid w:val="00CA0E38"/>
    <w:rsid w:val="00D41506"/>
    <w:rsid w:val="00DA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A4784"/>
  </w:style>
  <w:style w:type="paragraph" w:styleId="Naslov2">
    <w:name w:val="heading 2"/>
    <w:basedOn w:val="Navaden"/>
    <w:link w:val="Naslov2Znak"/>
    <w:uiPriority w:val="9"/>
    <w:qFormat/>
    <w:rsid w:val="00DA6B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2C00DA"/>
    <w:rPr>
      <w:b/>
      <w:bCs/>
    </w:rPr>
  </w:style>
  <w:style w:type="paragraph" w:customStyle="1" w:styleId="yiv3181114452msonormal">
    <w:name w:val="yiv3181114452msonormal"/>
    <w:basedOn w:val="Navaden"/>
    <w:rsid w:val="002C0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-mrea">
    <w:name w:val="Table Grid"/>
    <w:basedOn w:val="Navadnatabela"/>
    <w:uiPriority w:val="59"/>
    <w:rsid w:val="009945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D4150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41506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DA6BB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6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6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mission.europa.eu/strategy-and-policy/priorities-2019-2024/europe-fit-digital-age/european-industrial-strategy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ission.europa.eu/document/41514677-9598-4d89-a572-abe21cb037f4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2023-02-02T08:50:00Z</dcterms:created>
  <dcterms:modified xsi:type="dcterms:W3CDTF">2023-02-02T09:27:00Z</dcterms:modified>
</cp:coreProperties>
</file>