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AF8" w:rsidRPr="00D5331F" w:rsidRDefault="00DD5AF8" w:rsidP="00DD5AF8">
      <w:pPr>
        <w:tabs>
          <w:tab w:val="left" w:pos="2520"/>
          <w:tab w:val="left" w:pos="2700"/>
          <w:tab w:val="left" w:pos="3120"/>
        </w:tabs>
        <w:jc w:val="center"/>
      </w:pPr>
      <w:r w:rsidRPr="00D5331F">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DD5AF8" w:rsidRPr="00C446CC" w:rsidRDefault="00DD5AF8" w:rsidP="00DD5AF8">
      <w:pPr>
        <w:pStyle w:val="Naslov2"/>
        <w:tabs>
          <w:tab w:val="left" w:pos="3120"/>
        </w:tabs>
        <w:jc w:val="center"/>
        <w:rPr>
          <w:b w:val="0"/>
          <w:bCs w:val="0"/>
          <w:i/>
          <w:iCs/>
          <w:sz w:val="22"/>
        </w:rPr>
      </w:pPr>
      <w:r w:rsidRPr="00C446CC">
        <w:rPr>
          <w:sz w:val="22"/>
        </w:rPr>
        <w:t>Slovensko gospodarsko in raziskovalno združenje, Bruselj</w:t>
      </w:r>
    </w:p>
    <w:p w:rsidR="00DD5AF8" w:rsidRPr="00C446CC" w:rsidRDefault="00DD5AF8" w:rsidP="00DD5AF8">
      <w:pPr>
        <w:pBdr>
          <w:bottom w:val="single" w:sz="6" w:space="1" w:color="auto"/>
        </w:pBdr>
        <w:tabs>
          <w:tab w:val="left" w:pos="3120"/>
        </w:tabs>
        <w:jc w:val="center"/>
        <w:rPr>
          <w:sz w:val="16"/>
          <w:szCs w:val="16"/>
        </w:rPr>
      </w:pPr>
    </w:p>
    <w:p w:rsidR="00DD5AF8" w:rsidRDefault="00DD5AF8" w:rsidP="00DD5AF8">
      <w:pPr>
        <w:tabs>
          <w:tab w:val="left" w:pos="3120"/>
        </w:tabs>
        <w:spacing w:after="0" w:afterAutospacing="0"/>
        <w:rPr>
          <w:b/>
        </w:rPr>
      </w:pPr>
      <w:r w:rsidRPr="00C446CC">
        <w:rPr>
          <w:b/>
        </w:rPr>
        <w:tab/>
      </w:r>
    </w:p>
    <w:p w:rsidR="00DD5AF8" w:rsidRPr="003227EF" w:rsidRDefault="00DD5AF8" w:rsidP="00DD5AF8">
      <w:pPr>
        <w:tabs>
          <w:tab w:val="left" w:pos="3120"/>
        </w:tabs>
        <w:spacing w:after="0" w:afterAutospacing="0"/>
        <w:jc w:val="center"/>
        <w:rPr>
          <w:b/>
        </w:rPr>
      </w:pPr>
      <w:r w:rsidRPr="003227EF">
        <w:rPr>
          <w:b/>
        </w:rPr>
        <w:t xml:space="preserve">Občasna informacija članom </w:t>
      </w:r>
      <w:r>
        <w:rPr>
          <w:b/>
        </w:rPr>
        <w:t>20</w:t>
      </w:r>
      <w:r w:rsidRPr="003227EF">
        <w:rPr>
          <w:b/>
        </w:rPr>
        <w:t xml:space="preserve"> – 2019</w:t>
      </w:r>
    </w:p>
    <w:p w:rsidR="00DD5AF8" w:rsidRDefault="00DD5AF8" w:rsidP="00DD5AF8">
      <w:pPr>
        <w:tabs>
          <w:tab w:val="left" w:pos="3120"/>
        </w:tabs>
        <w:spacing w:after="0" w:afterAutospacing="0"/>
        <w:jc w:val="center"/>
        <w:rPr>
          <w:b/>
        </w:rPr>
      </w:pPr>
    </w:p>
    <w:p w:rsidR="00DD5AF8" w:rsidRPr="003227EF" w:rsidRDefault="00DD5AF8" w:rsidP="00DD5AF8">
      <w:pPr>
        <w:tabs>
          <w:tab w:val="left" w:pos="3120"/>
        </w:tabs>
        <w:spacing w:after="0" w:afterAutospacing="0"/>
        <w:jc w:val="center"/>
        <w:rPr>
          <w:b/>
        </w:rPr>
      </w:pPr>
      <w:r>
        <w:rPr>
          <w:b/>
        </w:rPr>
        <w:t>04</w:t>
      </w:r>
      <w:r w:rsidRPr="003227EF">
        <w:rPr>
          <w:b/>
        </w:rPr>
        <w:t xml:space="preserve">. </w:t>
      </w:r>
      <w:r>
        <w:rPr>
          <w:b/>
        </w:rPr>
        <w:t>februar</w:t>
      </w:r>
      <w:r w:rsidRPr="003227EF">
        <w:rPr>
          <w:b/>
        </w:rPr>
        <w:t xml:space="preserve"> 2019</w:t>
      </w:r>
    </w:p>
    <w:p w:rsidR="00DD5AF8" w:rsidRDefault="00DD5AF8" w:rsidP="00DD5AF8">
      <w:pPr>
        <w:spacing w:after="0" w:afterAutospacing="0"/>
        <w:rPr>
          <w:b/>
          <w:color w:val="993300"/>
          <w:sz w:val="32"/>
          <w:szCs w:val="32"/>
        </w:rPr>
      </w:pPr>
    </w:p>
    <w:p w:rsidR="00DD5AF8" w:rsidRDefault="00DD5AF8" w:rsidP="00DD5AF8">
      <w:pPr>
        <w:jc w:val="center"/>
        <w:rPr>
          <w:rFonts w:ascii="Arial" w:hAnsi="Arial" w:cs="Arial"/>
          <w:b/>
          <w:i/>
        </w:rPr>
      </w:pPr>
      <w:r>
        <w:rPr>
          <w:b/>
          <w:color w:val="993300"/>
          <w:sz w:val="32"/>
          <w:szCs w:val="32"/>
        </w:rPr>
        <w:t>Ukrepi, ki jih je Evropska komisija sprejela za primer izstopa Združenega kraljestva iz EU brez dogovora</w:t>
      </w:r>
    </w:p>
    <w:p w:rsidR="00C70A25" w:rsidRPr="00DD5AF8" w:rsidRDefault="00C70A25" w:rsidP="00DD5AF8">
      <w:pPr>
        <w:rPr>
          <w:rFonts w:ascii="Arial" w:hAnsi="Arial" w:cs="Arial"/>
          <w:b/>
          <w:i/>
        </w:rPr>
      </w:pPr>
      <w:r w:rsidRPr="00DD5AF8">
        <w:rPr>
          <w:rFonts w:ascii="Arial" w:hAnsi="Arial" w:cs="Arial"/>
          <w:b/>
          <w:i/>
        </w:rPr>
        <w:t xml:space="preserve">Evropska komisija sprejela zadnji sveženj ukrepov za primer izstopa Združenega kraljestva iz EU brez dogovora. Ti ukrepi se nanašajo na študente </w:t>
      </w:r>
      <w:proofErr w:type="spellStart"/>
      <w:r w:rsidRPr="00DD5AF8">
        <w:rPr>
          <w:rFonts w:ascii="Arial" w:hAnsi="Arial" w:cs="Arial"/>
          <w:b/>
          <w:i/>
        </w:rPr>
        <w:t>Erasmus</w:t>
      </w:r>
      <w:proofErr w:type="spellEnd"/>
      <w:r w:rsidRPr="00DD5AF8">
        <w:rPr>
          <w:rFonts w:ascii="Arial" w:hAnsi="Arial" w:cs="Arial"/>
          <w:b/>
          <w:i/>
        </w:rPr>
        <w:t xml:space="preserve">+, pravila koordinacije sistemov socialne varnosti in proračun EU. </w:t>
      </w:r>
      <w:r w:rsidR="00A25EEC" w:rsidRPr="00DD5AF8">
        <w:rPr>
          <w:rFonts w:ascii="Arial" w:hAnsi="Arial" w:cs="Arial"/>
          <w:b/>
          <w:i/>
        </w:rPr>
        <w:t>Evropska k</w:t>
      </w:r>
      <w:r w:rsidRPr="00DD5AF8">
        <w:rPr>
          <w:rFonts w:ascii="Arial" w:hAnsi="Arial" w:cs="Arial"/>
          <w:b/>
          <w:i/>
        </w:rPr>
        <w:t>omisija je lani objavila 88 obvestil o pripravljenosti za posamezne sektorje, da bi javnost obvestila o posledicah izstopa Združenega</w:t>
      </w:r>
      <w:r w:rsidR="00A25EEC" w:rsidRPr="00DD5AF8">
        <w:rPr>
          <w:rFonts w:ascii="Arial" w:hAnsi="Arial" w:cs="Arial"/>
          <w:b/>
          <w:i/>
        </w:rPr>
        <w:t xml:space="preserve"> kraljestva, če ne bo sklenjen s</w:t>
      </w:r>
      <w:r w:rsidRPr="00DD5AF8">
        <w:rPr>
          <w:rFonts w:ascii="Arial" w:hAnsi="Arial" w:cs="Arial"/>
          <w:b/>
          <w:i/>
        </w:rPr>
        <w:t>porazum o izstopu</w:t>
      </w:r>
      <w:r w:rsidR="00A25EEC" w:rsidRPr="00DD5AF8">
        <w:rPr>
          <w:rFonts w:ascii="Arial" w:hAnsi="Arial" w:cs="Arial"/>
          <w:b/>
          <w:i/>
        </w:rPr>
        <w:t xml:space="preserve"> iz EU</w:t>
      </w:r>
      <w:r w:rsidRPr="00DD5AF8">
        <w:rPr>
          <w:rFonts w:ascii="Arial" w:hAnsi="Arial" w:cs="Arial"/>
          <w:b/>
          <w:i/>
        </w:rPr>
        <w:t>. Obvestila so na voljo v vseh uradnih jezikih EU.</w:t>
      </w:r>
      <w:r w:rsidR="00A25EEC" w:rsidRPr="00DD5AF8">
        <w:rPr>
          <w:rFonts w:ascii="Arial" w:hAnsi="Arial" w:cs="Arial"/>
          <w:b/>
          <w:i/>
        </w:rPr>
        <w:t xml:space="preserve"> Člani lahko podrobnejše informacije o obvestilih in predlaganih ukrepih za posamezna področja dobijo na SBRA.</w:t>
      </w:r>
    </w:p>
    <w:p w:rsidR="00C70A25" w:rsidRPr="00DD5AF8" w:rsidRDefault="00C70A25" w:rsidP="00DD5AF8">
      <w:pPr>
        <w:rPr>
          <w:rFonts w:ascii="Arial" w:hAnsi="Arial" w:cs="Arial"/>
          <w:sz w:val="20"/>
          <w:szCs w:val="20"/>
        </w:rPr>
      </w:pPr>
      <w:r w:rsidRPr="00DD5AF8">
        <w:rPr>
          <w:rFonts w:ascii="Arial" w:hAnsi="Arial" w:cs="Arial"/>
          <w:sz w:val="20"/>
          <w:szCs w:val="20"/>
        </w:rPr>
        <w:t xml:space="preserve">Ukrepi za </w:t>
      </w:r>
      <w:proofErr w:type="spellStart"/>
      <w:r w:rsidRPr="00DD5AF8">
        <w:rPr>
          <w:rFonts w:ascii="Arial" w:hAnsi="Arial" w:cs="Arial"/>
          <w:sz w:val="20"/>
          <w:szCs w:val="20"/>
        </w:rPr>
        <w:t>Erasmus</w:t>
      </w:r>
      <w:proofErr w:type="spellEnd"/>
      <w:r w:rsidRPr="00DD5AF8">
        <w:rPr>
          <w:rFonts w:ascii="Arial" w:hAnsi="Arial" w:cs="Arial"/>
          <w:sz w:val="20"/>
          <w:szCs w:val="20"/>
        </w:rPr>
        <w:t xml:space="preserve">+ naj bi zagotovili, da bodo lahko mladi iz EU in Združenega kraljestva, ki bodo 30. marca 2019 udeleženci programa </w:t>
      </w:r>
      <w:proofErr w:type="spellStart"/>
      <w:r w:rsidRPr="00DD5AF8">
        <w:rPr>
          <w:rFonts w:ascii="Arial" w:hAnsi="Arial" w:cs="Arial"/>
          <w:sz w:val="20"/>
          <w:szCs w:val="20"/>
        </w:rPr>
        <w:t>Erasmus</w:t>
      </w:r>
      <w:proofErr w:type="spellEnd"/>
      <w:r w:rsidRPr="00DD5AF8">
        <w:rPr>
          <w:rFonts w:ascii="Arial" w:hAnsi="Arial" w:cs="Arial"/>
          <w:sz w:val="20"/>
          <w:szCs w:val="20"/>
        </w:rPr>
        <w:t xml:space="preserve">+, dokončali svoje bivanje brez prekinitve. </w:t>
      </w:r>
    </w:p>
    <w:p w:rsidR="00C70A25" w:rsidRPr="00DD5AF8" w:rsidRDefault="00C70A25" w:rsidP="00DD5AF8">
      <w:pPr>
        <w:rPr>
          <w:rFonts w:ascii="Arial" w:hAnsi="Arial" w:cs="Arial"/>
          <w:sz w:val="20"/>
          <w:szCs w:val="20"/>
        </w:rPr>
      </w:pPr>
      <w:r w:rsidRPr="00DD5AF8">
        <w:rPr>
          <w:rFonts w:ascii="Arial" w:hAnsi="Arial" w:cs="Arial"/>
          <w:sz w:val="20"/>
          <w:szCs w:val="20"/>
        </w:rPr>
        <w:t>Ukrepi s področja koordinacije sistemov socialne varnosti naj bi zagotovili, da bodo organi držav članic EU pri izračunu prejemkov socialne varnosti, kot so pokojnine, še naprej upoštevali zavarovalne dobe, obdobja (samo)zaposlitve ali prebivanja v Združenem kraljestvu pred izstopom.</w:t>
      </w:r>
    </w:p>
    <w:p w:rsidR="00C70A25" w:rsidRPr="00DD5AF8" w:rsidRDefault="00C70A25" w:rsidP="00DD5AF8">
      <w:pPr>
        <w:rPr>
          <w:rFonts w:ascii="Arial" w:hAnsi="Arial" w:cs="Arial"/>
          <w:sz w:val="20"/>
          <w:szCs w:val="20"/>
        </w:rPr>
      </w:pPr>
      <w:r w:rsidRPr="00DD5AF8">
        <w:rPr>
          <w:rFonts w:ascii="Arial" w:hAnsi="Arial" w:cs="Arial"/>
          <w:sz w:val="20"/>
          <w:szCs w:val="20"/>
        </w:rPr>
        <w:t>Ukrepi s področja proračuna EU naj bi zagotovili, da bodo upravičenci do sredstev EU iz Združenega kraljestva še naprej prejemali plačila v okviru svojih obstoječih pogodb, pod pogojem, da Združeno kraljestvo še naprej spoštuje svoje finančne obveznosti v okviru proračuna EU. To vprašanje je ločeno od finančne poravnave med Evropsko unijo in Združenim kraljestvom.</w:t>
      </w:r>
    </w:p>
    <w:p w:rsidR="00A25EEC" w:rsidRPr="00DD5AF8" w:rsidRDefault="00A25EEC" w:rsidP="00DD5AF8">
      <w:pPr>
        <w:rPr>
          <w:rFonts w:ascii="Arial" w:hAnsi="Arial" w:cs="Arial"/>
          <w:sz w:val="20"/>
          <w:szCs w:val="20"/>
        </w:rPr>
      </w:pPr>
      <w:r w:rsidRPr="00DD5AF8">
        <w:rPr>
          <w:rFonts w:ascii="Arial" w:hAnsi="Arial" w:cs="Arial"/>
          <w:sz w:val="20"/>
          <w:szCs w:val="20"/>
        </w:rPr>
        <w:t xml:space="preserve">Evropska komisija je pripravila 18 zakonodajnih predlogov v okviru priprav na izstop Združenega kraljestva brez dogovora. Organizirala je tehnične razprave z državami članicami EU-27 o splošnih vprašanjih pripravljenosti ter posebnih sektorskih, pravnih in upravnih ukrepih za pripravljenost. </w:t>
      </w:r>
      <w:r w:rsidR="00196184" w:rsidRPr="00DD5AF8">
        <w:rPr>
          <w:rFonts w:ascii="Arial" w:hAnsi="Arial" w:cs="Arial"/>
          <w:sz w:val="20"/>
          <w:szCs w:val="20"/>
        </w:rPr>
        <w:t>Predstavitve</w:t>
      </w:r>
      <w:r w:rsidRPr="00DD5AF8">
        <w:rPr>
          <w:rFonts w:ascii="Arial" w:hAnsi="Arial" w:cs="Arial"/>
          <w:sz w:val="20"/>
          <w:szCs w:val="20"/>
        </w:rPr>
        <w:t xml:space="preserve"> s teh tehničnih seminarjev so na voljo na spletu.</w:t>
      </w:r>
    </w:p>
    <w:p w:rsidR="00A25EEC" w:rsidRPr="00DD5AF8" w:rsidRDefault="00A25EEC" w:rsidP="00DD5AF8">
      <w:pPr>
        <w:rPr>
          <w:rFonts w:ascii="Arial" w:hAnsi="Arial" w:cs="Arial"/>
          <w:b/>
          <w:sz w:val="20"/>
          <w:szCs w:val="20"/>
        </w:rPr>
      </w:pPr>
      <w:r w:rsidRPr="00DD5AF8">
        <w:rPr>
          <w:rFonts w:ascii="Arial" w:hAnsi="Arial" w:cs="Arial"/>
          <w:b/>
          <w:sz w:val="20"/>
          <w:szCs w:val="20"/>
        </w:rPr>
        <w:t>Koristne informacije:</w:t>
      </w:r>
    </w:p>
    <w:p w:rsidR="00A25EEC" w:rsidRPr="00DD5AF8" w:rsidRDefault="009129B8" w:rsidP="00DD5AF8">
      <w:pPr>
        <w:pStyle w:val="Odstavekseznama"/>
        <w:numPr>
          <w:ilvl w:val="0"/>
          <w:numId w:val="1"/>
        </w:numPr>
        <w:rPr>
          <w:rFonts w:ascii="Arial" w:hAnsi="Arial" w:cs="Arial"/>
          <w:sz w:val="20"/>
          <w:szCs w:val="20"/>
        </w:rPr>
      </w:pPr>
      <w:r w:rsidRPr="00DD5AF8">
        <w:rPr>
          <w:rFonts w:ascii="Arial" w:hAnsi="Arial" w:cs="Arial"/>
          <w:sz w:val="20"/>
          <w:szCs w:val="20"/>
        </w:rPr>
        <w:t>Spletna stran z informacijami o pripravah na izstop Združenega kraljestva brez dogovora:</w:t>
      </w:r>
    </w:p>
    <w:p w:rsidR="009129B8" w:rsidRDefault="009129B8" w:rsidP="00DD5AF8">
      <w:pPr>
        <w:pStyle w:val="Odstavekseznama"/>
        <w:numPr>
          <w:ilvl w:val="0"/>
          <w:numId w:val="1"/>
        </w:numPr>
        <w:rPr>
          <w:rFonts w:ascii="Arial" w:hAnsi="Arial" w:cs="Arial"/>
          <w:sz w:val="20"/>
          <w:szCs w:val="20"/>
        </w:rPr>
      </w:pPr>
      <w:hyperlink r:id="rId6" w:history="1">
        <w:r w:rsidRPr="00DD5AF8">
          <w:rPr>
            <w:rStyle w:val="Hiperpovezava"/>
            <w:rFonts w:ascii="Arial" w:hAnsi="Arial" w:cs="Arial"/>
            <w:sz w:val="20"/>
            <w:szCs w:val="20"/>
          </w:rPr>
          <w:t>https://ec.europa.eu/info/brexit/brexit-preparedness_en</w:t>
        </w:r>
      </w:hyperlink>
    </w:p>
    <w:p w:rsidR="00C00A83" w:rsidRPr="00DD5AF8" w:rsidRDefault="00C00A83" w:rsidP="00C00A83">
      <w:pPr>
        <w:pStyle w:val="Odstavekseznama"/>
        <w:rPr>
          <w:rFonts w:ascii="Arial" w:hAnsi="Arial" w:cs="Arial"/>
          <w:sz w:val="20"/>
          <w:szCs w:val="20"/>
        </w:rPr>
      </w:pPr>
    </w:p>
    <w:p w:rsidR="00196184" w:rsidRPr="00DD5AF8" w:rsidRDefault="00196184" w:rsidP="00DD5AF8">
      <w:pPr>
        <w:pStyle w:val="Odstavekseznama"/>
        <w:numPr>
          <w:ilvl w:val="0"/>
          <w:numId w:val="1"/>
        </w:numPr>
        <w:rPr>
          <w:rFonts w:ascii="Arial" w:hAnsi="Arial" w:cs="Arial"/>
          <w:sz w:val="20"/>
          <w:szCs w:val="20"/>
        </w:rPr>
      </w:pPr>
      <w:r w:rsidRPr="00DD5AF8">
        <w:rPr>
          <w:rFonts w:ascii="Arial" w:hAnsi="Arial" w:cs="Arial"/>
          <w:sz w:val="20"/>
          <w:szCs w:val="20"/>
        </w:rPr>
        <w:t>Spletna stran z zakonodajnimi predlogi:</w:t>
      </w:r>
    </w:p>
    <w:p w:rsidR="009129B8" w:rsidRPr="00DD5AF8" w:rsidRDefault="00196184" w:rsidP="00DD5AF8">
      <w:pPr>
        <w:pStyle w:val="Odstavekseznama"/>
        <w:numPr>
          <w:ilvl w:val="0"/>
          <w:numId w:val="1"/>
        </w:numPr>
        <w:rPr>
          <w:rFonts w:ascii="Arial" w:hAnsi="Arial" w:cs="Arial"/>
          <w:sz w:val="20"/>
          <w:szCs w:val="20"/>
        </w:rPr>
      </w:pPr>
      <w:hyperlink r:id="rId7" w:history="1">
        <w:r w:rsidRPr="00DD5AF8">
          <w:rPr>
            <w:rStyle w:val="Hiperpovezava"/>
            <w:rFonts w:ascii="Arial" w:hAnsi="Arial" w:cs="Arial"/>
            <w:sz w:val="20"/>
            <w:szCs w:val="20"/>
          </w:rPr>
          <w:t>https://ec.europa.eu/info/brexit/brexit-preparedness/legislative-initiatives-and-other-legal-acts_sl</w:t>
        </w:r>
      </w:hyperlink>
    </w:p>
    <w:p w:rsidR="00196184" w:rsidRPr="00DD5AF8" w:rsidRDefault="00196184" w:rsidP="00DD5AF8">
      <w:pPr>
        <w:pStyle w:val="Odstavekseznama"/>
        <w:numPr>
          <w:ilvl w:val="0"/>
          <w:numId w:val="1"/>
        </w:numPr>
        <w:rPr>
          <w:rFonts w:ascii="Arial" w:hAnsi="Arial" w:cs="Arial"/>
          <w:sz w:val="20"/>
          <w:szCs w:val="20"/>
        </w:rPr>
      </w:pPr>
      <w:r w:rsidRPr="00DD5AF8">
        <w:rPr>
          <w:rFonts w:ascii="Arial" w:hAnsi="Arial" w:cs="Arial"/>
          <w:sz w:val="20"/>
          <w:szCs w:val="20"/>
        </w:rPr>
        <w:lastRenderedPageBreak/>
        <w:t>Predstavitve s tehničnih seminarjev:</w:t>
      </w:r>
    </w:p>
    <w:p w:rsidR="00196184" w:rsidRPr="00DD5AF8" w:rsidRDefault="00196184" w:rsidP="00DD5AF8">
      <w:pPr>
        <w:pStyle w:val="Odstavekseznama"/>
        <w:numPr>
          <w:ilvl w:val="0"/>
          <w:numId w:val="1"/>
        </w:numPr>
        <w:rPr>
          <w:rFonts w:ascii="Arial" w:hAnsi="Arial" w:cs="Arial"/>
          <w:sz w:val="20"/>
          <w:szCs w:val="20"/>
        </w:rPr>
      </w:pPr>
      <w:hyperlink r:id="rId8" w:history="1">
        <w:r w:rsidRPr="00DD5AF8">
          <w:rPr>
            <w:rStyle w:val="Hiperpovezava"/>
            <w:rFonts w:ascii="Arial" w:hAnsi="Arial" w:cs="Arial"/>
            <w:sz w:val="20"/>
            <w:szCs w:val="20"/>
          </w:rPr>
          <w:t>https://ec.europa.eu/info/council-working-party-article-50-preparedness-seminars_sl</w:t>
        </w:r>
      </w:hyperlink>
    </w:p>
    <w:p w:rsidR="00196184" w:rsidRPr="00DD5AF8" w:rsidRDefault="00196184" w:rsidP="00DD5AF8">
      <w:pPr>
        <w:rPr>
          <w:rFonts w:ascii="Arial" w:hAnsi="Arial" w:cs="Arial"/>
          <w:sz w:val="20"/>
          <w:szCs w:val="20"/>
        </w:rPr>
      </w:pPr>
      <w:r w:rsidRPr="00DD5AF8">
        <w:rPr>
          <w:rFonts w:ascii="Arial" w:hAnsi="Arial" w:cs="Arial"/>
          <w:sz w:val="20"/>
          <w:szCs w:val="20"/>
        </w:rPr>
        <w:t>Pripravila:</w:t>
      </w:r>
    </w:p>
    <w:p w:rsidR="00196184" w:rsidRPr="00DD5AF8" w:rsidRDefault="00196184" w:rsidP="00DD5AF8">
      <w:pPr>
        <w:rPr>
          <w:rFonts w:ascii="Arial" w:hAnsi="Arial" w:cs="Arial"/>
          <w:sz w:val="20"/>
          <w:szCs w:val="20"/>
        </w:rPr>
      </w:pPr>
      <w:r w:rsidRPr="00DD5AF8">
        <w:rPr>
          <w:rFonts w:ascii="Arial" w:hAnsi="Arial" w:cs="Arial"/>
          <w:sz w:val="20"/>
          <w:szCs w:val="20"/>
        </w:rPr>
        <w:t>Darja Kocbek</w:t>
      </w:r>
    </w:p>
    <w:p w:rsidR="00196184" w:rsidRDefault="00196184" w:rsidP="00C70A25">
      <w:pPr>
        <w:pStyle w:val="Navadensplet"/>
      </w:pPr>
    </w:p>
    <w:p w:rsidR="00C70A25" w:rsidRDefault="00C70A25" w:rsidP="00C70A25">
      <w:pPr>
        <w:pStyle w:val="Navadensplet"/>
      </w:pPr>
    </w:p>
    <w:p w:rsidR="00C70A25" w:rsidRPr="00C70A25" w:rsidRDefault="00C70A25" w:rsidP="00C70A25"/>
    <w:p w:rsidR="00B459D4" w:rsidRDefault="00B459D4"/>
    <w:sectPr w:rsidR="00B459D4"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B3443"/>
    <w:multiLevelType w:val="hybridMultilevel"/>
    <w:tmpl w:val="7EBA30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70A25"/>
    <w:rsid w:val="00196184"/>
    <w:rsid w:val="005F1C80"/>
    <w:rsid w:val="009129B8"/>
    <w:rsid w:val="00A25EEC"/>
    <w:rsid w:val="00B459D4"/>
    <w:rsid w:val="00C00A83"/>
    <w:rsid w:val="00C70A25"/>
    <w:rsid w:val="00DD5AF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1">
    <w:name w:val="heading 1"/>
    <w:basedOn w:val="Navaden"/>
    <w:link w:val="Naslov1Znak"/>
    <w:uiPriority w:val="9"/>
    <w:qFormat/>
    <w:rsid w:val="00C70A25"/>
    <w:pPr>
      <w:spacing w:before="100" w:beforeAutospacing="1"/>
      <w:jc w:val="left"/>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next w:val="Navaden"/>
    <w:link w:val="Naslov2Znak"/>
    <w:uiPriority w:val="9"/>
    <w:semiHidden/>
    <w:unhideWhenUsed/>
    <w:qFormat/>
    <w:rsid w:val="00DD5A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70A25"/>
    <w:rPr>
      <w:rFonts w:ascii="Times New Roman" w:eastAsia="Times New Roman" w:hAnsi="Times New Roman" w:cs="Times New Roman"/>
      <w:b/>
      <w:bCs/>
      <w:kern w:val="36"/>
      <w:sz w:val="48"/>
      <w:szCs w:val="48"/>
      <w:lang w:eastAsia="sl-SI"/>
    </w:rPr>
  </w:style>
  <w:style w:type="paragraph" w:styleId="Navadensplet">
    <w:name w:val="Normal (Web)"/>
    <w:basedOn w:val="Navaden"/>
    <w:uiPriority w:val="99"/>
    <w:unhideWhenUsed/>
    <w:rsid w:val="00C70A25"/>
    <w:pPr>
      <w:spacing w:before="100" w:beforeAutospacing="1"/>
      <w:jc w:val="left"/>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C70A25"/>
    <w:rPr>
      <w:color w:val="0000FF"/>
      <w:u w:val="single"/>
    </w:rPr>
  </w:style>
  <w:style w:type="paragraph" w:styleId="Odstavekseznama">
    <w:name w:val="List Paragraph"/>
    <w:basedOn w:val="Navaden"/>
    <w:uiPriority w:val="34"/>
    <w:qFormat/>
    <w:rsid w:val="00DD5AF8"/>
    <w:pPr>
      <w:ind w:left="720"/>
      <w:contextualSpacing/>
    </w:pPr>
  </w:style>
  <w:style w:type="character" w:customStyle="1" w:styleId="Naslov2Znak">
    <w:name w:val="Naslov 2 Znak"/>
    <w:basedOn w:val="Privzetapisavaodstavka"/>
    <w:link w:val="Naslov2"/>
    <w:uiPriority w:val="9"/>
    <w:semiHidden/>
    <w:rsid w:val="00DD5AF8"/>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DD5AF8"/>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D5A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3119948">
      <w:bodyDiv w:val="1"/>
      <w:marLeft w:val="0"/>
      <w:marRight w:val="0"/>
      <w:marTop w:val="0"/>
      <w:marBottom w:val="0"/>
      <w:divBdr>
        <w:top w:val="none" w:sz="0" w:space="0" w:color="auto"/>
        <w:left w:val="none" w:sz="0" w:space="0" w:color="auto"/>
        <w:bottom w:val="none" w:sz="0" w:space="0" w:color="auto"/>
        <w:right w:val="none" w:sz="0" w:space="0" w:color="auto"/>
      </w:divBdr>
    </w:div>
    <w:div w:id="91266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council-working-party-article-50-preparedness-seminars_sl" TargetMode="External"/><Relationship Id="rId3" Type="http://schemas.openxmlformats.org/officeDocument/2006/relationships/settings" Target="settings.xml"/><Relationship Id="rId7" Type="http://schemas.openxmlformats.org/officeDocument/2006/relationships/hyperlink" Target="https://ec.europa.eu/info/brexit/brexit-preparedness/legislative-initiatives-and-other-legal-acts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brexit/brexit-preparedness_en"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409</Words>
  <Characters>2333</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2019-01-31T13:15:00Z</dcterms:created>
  <dcterms:modified xsi:type="dcterms:W3CDTF">2019-01-31T13:42:00Z</dcterms:modified>
</cp:coreProperties>
</file>