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72" w:rsidRPr="00467345" w:rsidRDefault="008E7672" w:rsidP="008E767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672" w:rsidRPr="00301C78" w:rsidRDefault="008E7672" w:rsidP="008E767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E7672" w:rsidRPr="00083714" w:rsidRDefault="008E7672" w:rsidP="008E7672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8E7672" w:rsidRDefault="008E7672" w:rsidP="008E7672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202 </w:t>
      </w:r>
      <w:r w:rsidRPr="00083714">
        <w:rPr>
          <w:b/>
        </w:rPr>
        <w:t>– 20</w:t>
      </w:r>
      <w:r>
        <w:rPr>
          <w:b/>
        </w:rPr>
        <w:t>23</w:t>
      </w:r>
    </w:p>
    <w:p w:rsidR="008E7672" w:rsidRPr="0089114F" w:rsidRDefault="008E7672" w:rsidP="008E7672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18. december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8E7672" w:rsidRDefault="008E7672" w:rsidP="008E7672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Sprejet je delovni program Evropskega sveta za inovacije (EIC) za leto 2024</w:t>
      </w:r>
    </w:p>
    <w:p w:rsidR="00B73E58" w:rsidRDefault="00AA4500" w:rsidP="00725C0A">
      <w:pPr>
        <w:jc w:val="both"/>
        <w:rPr>
          <w:rFonts w:ascii="Arial" w:hAnsi="Arial" w:cs="Arial"/>
          <w:b/>
          <w:i/>
        </w:rPr>
      </w:pPr>
      <w:r w:rsidRPr="00725C0A">
        <w:rPr>
          <w:rFonts w:ascii="Arial" w:hAnsi="Arial" w:cs="Arial"/>
          <w:b/>
          <w:i/>
        </w:rPr>
        <w:t>Evropska komisija je sprejela delovni program Evropskega sveta za inovacije</w:t>
      </w:r>
      <w:r w:rsidR="008E7672">
        <w:rPr>
          <w:rFonts w:ascii="Arial" w:hAnsi="Arial" w:cs="Arial"/>
          <w:b/>
          <w:i/>
        </w:rPr>
        <w:t xml:space="preserve"> (EIC)</w:t>
      </w:r>
      <w:r w:rsidRPr="00725C0A">
        <w:rPr>
          <w:rFonts w:ascii="Arial" w:hAnsi="Arial" w:cs="Arial"/>
          <w:b/>
          <w:i/>
        </w:rPr>
        <w:t xml:space="preserve"> za leto 2024. V okviru treh glavnih shem financiranja, ki so EIC Iskalec (EIC </w:t>
      </w:r>
      <w:proofErr w:type="spellStart"/>
      <w:r w:rsidRPr="00725C0A">
        <w:rPr>
          <w:rFonts w:ascii="Arial" w:hAnsi="Arial" w:cs="Arial"/>
          <w:b/>
          <w:i/>
        </w:rPr>
        <w:t>Pathfinder</w:t>
      </w:r>
      <w:proofErr w:type="spellEnd"/>
      <w:r w:rsidRPr="00725C0A">
        <w:rPr>
          <w:rFonts w:ascii="Arial" w:hAnsi="Arial" w:cs="Arial"/>
          <w:b/>
          <w:i/>
        </w:rPr>
        <w:t xml:space="preserve">), EIC Prehod (EIC </w:t>
      </w:r>
      <w:proofErr w:type="spellStart"/>
      <w:r w:rsidRPr="00725C0A">
        <w:rPr>
          <w:rFonts w:ascii="Arial" w:hAnsi="Arial" w:cs="Arial"/>
          <w:b/>
          <w:i/>
        </w:rPr>
        <w:t>Transition</w:t>
      </w:r>
      <w:proofErr w:type="spellEnd"/>
      <w:r w:rsidRPr="00725C0A">
        <w:rPr>
          <w:rFonts w:ascii="Arial" w:hAnsi="Arial" w:cs="Arial"/>
          <w:b/>
          <w:i/>
        </w:rPr>
        <w:t xml:space="preserve">) in EIC Pospeševalnik (EIC </w:t>
      </w:r>
      <w:proofErr w:type="spellStart"/>
      <w:r w:rsidRPr="00725C0A">
        <w:rPr>
          <w:rFonts w:ascii="Arial" w:hAnsi="Arial" w:cs="Arial"/>
          <w:b/>
          <w:i/>
        </w:rPr>
        <w:t>Accelerator</w:t>
      </w:r>
      <w:proofErr w:type="spellEnd"/>
      <w:r w:rsidRPr="00725C0A">
        <w:rPr>
          <w:rFonts w:ascii="Arial" w:hAnsi="Arial" w:cs="Arial"/>
          <w:b/>
          <w:i/>
        </w:rPr>
        <w:t xml:space="preserve"> ), je na voljo 1,2 milijarde evrov</w:t>
      </w:r>
      <w:r w:rsidR="00B73E58">
        <w:rPr>
          <w:rFonts w:ascii="Arial" w:hAnsi="Arial" w:cs="Arial"/>
          <w:b/>
          <w:i/>
        </w:rPr>
        <w:t>.</w:t>
      </w:r>
      <w:r w:rsidRPr="00725C0A">
        <w:rPr>
          <w:rFonts w:ascii="Arial" w:hAnsi="Arial" w:cs="Arial"/>
          <w:b/>
          <w:i/>
        </w:rPr>
        <w:t xml:space="preserve"> </w:t>
      </w:r>
      <w:r w:rsidR="00B73E58">
        <w:rPr>
          <w:rFonts w:ascii="Arial" w:hAnsi="Arial" w:cs="Arial"/>
          <w:b/>
          <w:i/>
        </w:rPr>
        <w:t xml:space="preserve">Predstavniki Evropske komisije bodo </w:t>
      </w:r>
      <w:r w:rsidR="00F70BDC">
        <w:rPr>
          <w:rFonts w:ascii="Arial" w:hAnsi="Arial" w:cs="Arial"/>
          <w:b/>
          <w:i/>
        </w:rPr>
        <w:t xml:space="preserve">potencialnim prijaviteljem </w:t>
      </w:r>
      <w:r w:rsidR="00B73E58">
        <w:rPr>
          <w:rFonts w:ascii="Arial" w:hAnsi="Arial" w:cs="Arial"/>
          <w:b/>
          <w:i/>
        </w:rPr>
        <w:t xml:space="preserve">delovni program </w:t>
      </w:r>
      <w:r w:rsidR="00F70BDC">
        <w:rPr>
          <w:rFonts w:ascii="Arial" w:hAnsi="Arial" w:cs="Arial"/>
          <w:b/>
          <w:i/>
        </w:rPr>
        <w:t xml:space="preserve">in sheme financiranja </w:t>
      </w:r>
      <w:r w:rsidR="00B73E58">
        <w:rPr>
          <w:rFonts w:ascii="Arial" w:hAnsi="Arial" w:cs="Arial"/>
          <w:b/>
          <w:i/>
        </w:rPr>
        <w:t xml:space="preserve">podrobneje predstavili na </w:t>
      </w:r>
      <w:r w:rsidR="00F70BDC">
        <w:rPr>
          <w:rFonts w:ascii="Arial" w:hAnsi="Arial" w:cs="Arial"/>
          <w:b/>
          <w:i/>
        </w:rPr>
        <w:t>spletnem informativnem dnevu 15. januarja 2024, spletni informativni dan 16. januarja 2024 pa bo namenjen izzivom P</w:t>
      </w:r>
      <w:r w:rsidR="00F70BDC" w:rsidRPr="00F70BDC">
        <w:rPr>
          <w:rFonts w:ascii="Arial" w:hAnsi="Arial" w:cs="Arial"/>
          <w:b/>
          <w:i/>
        </w:rPr>
        <w:t xml:space="preserve">ospeševalnika </w:t>
      </w:r>
      <w:r w:rsidR="00F70BDC">
        <w:rPr>
          <w:rFonts w:ascii="Arial" w:hAnsi="Arial" w:cs="Arial"/>
          <w:b/>
          <w:i/>
        </w:rPr>
        <w:t>EIC</w:t>
      </w:r>
      <w:r w:rsidR="00F70BDC" w:rsidRPr="00F70BDC">
        <w:rPr>
          <w:rFonts w:ascii="Arial" w:hAnsi="Arial" w:cs="Arial"/>
          <w:b/>
          <w:i/>
        </w:rPr>
        <w:t xml:space="preserve"> v okviru delovnega programa EIC 2024</w:t>
      </w:r>
      <w:r w:rsidR="00F70BDC">
        <w:rPr>
          <w:rFonts w:ascii="Arial" w:hAnsi="Arial" w:cs="Arial"/>
          <w:b/>
          <w:i/>
        </w:rPr>
        <w:t xml:space="preserve">. </w:t>
      </w:r>
      <w:r w:rsidR="00B73E58" w:rsidRPr="00725C0A">
        <w:rPr>
          <w:rFonts w:ascii="Arial" w:hAnsi="Arial" w:cs="Arial"/>
          <w:b/>
          <w:i/>
        </w:rPr>
        <w:t xml:space="preserve">Člani lahko dobijo več informacij </w:t>
      </w:r>
      <w:r w:rsidR="00F70BDC">
        <w:rPr>
          <w:rFonts w:ascii="Arial" w:hAnsi="Arial" w:cs="Arial"/>
          <w:b/>
          <w:i/>
        </w:rPr>
        <w:t xml:space="preserve">tudi </w:t>
      </w:r>
      <w:r w:rsidR="00B73E58" w:rsidRPr="00725C0A">
        <w:rPr>
          <w:rFonts w:ascii="Arial" w:hAnsi="Arial" w:cs="Arial"/>
          <w:b/>
          <w:i/>
        </w:rPr>
        <w:t>na SBRA.</w:t>
      </w:r>
    </w:p>
    <w:p w:rsidR="0042783C" w:rsidRPr="00725C0A" w:rsidRDefault="00AA4500" w:rsidP="00725C0A">
      <w:pPr>
        <w:jc w:val="both"/>
        <w:rPr>
          <w:rFonts w:ascii="Arial" w:hAnsi="Arial" w:cs="Arial"/>
          <w:sz w:val="20"/>
          <w:szCs w:val="20"/>
        </w:rPr>
      </w:pPr>
      <w:r w:rsidRPr="00F70BDC">
        <w:rPr>
          <w:rFonts w:ascii="Arial" w:hAnsi="Arial" w:cs="Arial"/>
          <w:sz w:val="20"/>
          <w:szCs w:val="20"/>
        </w:rPr>
        <w:t xml:space="preserve">Večina sredstev je </w:t>
      </w:r>
      <w:r w:rsidR="00F70BDC">
        <w:rPr>
          <w:rFonts w:ascii="Arial" w:hAnsi="Arial" w:cs="Arial"/>
          <w:sz w:val="20"/>
          <w:szCs w:val="20"/>
        </w:rPr>
        <w:t xml:space="preserve">v delovnem programu 2024 </w:t>
      </w:r>
      <w:r w:rsidRPr="00F70BDC">
        <w:rPr>
          <w:rFonts w:ascii="Arial" w:hAnsi="Arial" w:cs="Arial"/>
          <w:sz w:val="20"/>
          <w:szCs w:val="20"/>
        </w:rPr>
        <w:t xml:space="preserve">namenjena malim in srednje velikim podjetjem ter zagonskim podjetjem za razvoj in širitev poglobljenih tehnoloških inovacij na kritičnih področjih, kot so </w:t>
      </w:r>
      <w:proofErr w:type="spellStart"/>
      <w:r w:rsidRPr="00F70BDC">
        <w:rPr>
          <w:rFonts w:ascii="Arial" w:hAnsi="Arial" w:cs="Arial"/>
          <w:sz w:val="20"/>
          <w:szCs w:val="20"/>
        </w:rPr>
        <w:t>generativna</w:t>
      </w:r>
      <w:proofErr w:type="spellEnd"/>
      <w:r w:rsidRPr="00F70BDC">
        <w:rPr>
          <w:rFonts w:ascii="Arial" w:hAnsi="Arial" w:cs="Arial"/>
          <w:sz w:val="20"/>
          <w:szCs w:val="20"/>
        </w:rPr>
        <w:t xml:space="preserve"> umetna inteligenca, vesolje, kritične surovine, polprevodniki in kvantne tehnologije.</w:t>
      </w:r>
      <w:r w:rsidR="00725C0A" w:rsidRPr="00F70BDC">
        <w:rPr>
          <w:rFonts w:ascii="Arial" w:hAnsi="Arial" w:cs="Arial"/>
          <w:sz w:val="20"/>
          <w:szCs w:val="20"/>
        </w:rPr>
        <w:t xml:space="preserve"> </w:t>
      </w:r>
      <w:r w:rsidR="0042783C" w:rsidRPr="00725C0A">
        <w:rPr>
          <w:rFonts w:ascii="Arial" w:hAnsi="Arial" w:cs="Arial"/>
          <w:sz w:val="20"/>
          <w:szCs w:val="20"/>
        </w:rPr>
        <w:t xml:space="preserve">Za reševanje izzivov, ki neposredno podpirajo Evropski zeleni dogovor, </w:t>
      </w:r>
      <w:proofErr w:type="spellStart"/>
      <w:r w:rsidR="0042783C" w:rsidRPr="00725C0A">
        <w:rPr>
          <w:rFonts w:ascii="Arial" w:hAnsi="Arial" w:cs="Arial"/>
          <w:sz w:val="20"/>
          <w:szCs w:val="20"/>
        </w:rPr>
        <w:t>REPowerEU</w:t>
      </w:r>
      <w:proofErr w:type="spellEnd"/>
      <w:r w:rsidR="0042783C" w:rsidRPr="00725C0A">
        <w:rPr>
          <w:rFonts w:ascii="Arial" w:hAnsi="Arial" w:cs="Arial"/>
          <w:sz w:val="20"/>
          <w:szCs w:val="20"/>
        </w:rPr>
        <w:t>, Akt o čipih, prihodnji Akt o umetni inteligenci, Akt o ničelni industriji in druge politike EU, vključno z novo evropsko inovacijsko agendo, bo na voljo 420 milijonov evrov.</w:t>
      </w:r>
    </w:p>
    <w:p w:rsidR="0042783C" w:rsidRPr="00725C0A" w:rsidRDefault="0042783C" w:rsidP="00725C0A">
      <w:pPr>
        <w:jc w:val="both"/>
        <w:rPr>
          <w:rFonts w:ascii="Arial" w:hAnsi="Arial" w:cs="Arial"/>
          <w:b/>
          <w:sz w:val="20"/>
          <w:szCs w:val="20"/>
        </w:rPr>
      </w:pPr>
      <w:r w:rsidRPr="00725C0A">
        <w:rPr>
          <w:rFonts w:ascii="Arial" w:hAnsi="Arial" w:cs="Arial"/>
          <w:b/>
          <w:sz w:val="20"/>
          <w:szCs w:val="20"/>
        </w:rPr>
        <w:t>Tabela 1: Pregled poenostavitev in izboljšave v programu dela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42783C" w:rsidRPr="00725C0A" w:rsidTr="0042783C">
        <w:tc>
          <w:tcPr>
            <w:tcW w:w="9212" w:type="dxa"/>
          </w:tcPr>
          <w:p w:rsidR="0042783C" w:rsidRPr="00725C0A" w:rsidRDefault="0042783C" w:rsidP="00725C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5C0A">
              <w:rPr>
                <w:rFonts w:ascii="Arial" w:hAnsi="Arial" w:cs="Arial"/>
                <w:b/>
                <w:sz w:val="20"/>
                <w:szCs w:val="20"/>
              </w:rPr>
              <w:t>Poenostavitve in izboljšave</w:t>
            </w:r>
          </w:p>
        </w:tc>
      </w:tr>
      <w:tr w:rsidR="0042783C" w:rsidRPr="00725C0A" w:rsidTr="0042783C">
        <w:tc>
          <w:tcPr>
            <w:tcW w:w="9212" w:type="dxa"/>
          </w:tcPr>
          <w:p w:rsidR="0042783C" w:rsidRPr="00725C0A" w:rsidRDefault="0042783C" w:rsidP="00725C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C0A">
              <w:rPr>
                <w:rFonts w:ascii="Arial" w:hAnsi="Arial" w:cs="Arial"/>
                <w:sz w:val="20"/>
                <w:szCs w:val="20"/>
              </w:rPr>
              <w:t xml:space="preserve">Uvedba </w:t>
            </w:r>
            <w:r w:rsidRPr="00725C0A">
              <w:rPr>
                <w:rFonts w:ascii="Arial" w:hAnsi="Arial" w:cs="Arial"/>
                <w:b/>
                <w:sz w:val="20"/>
                <w:szCs w:val="20"/>
              </w:rPr>
              <w:t>pavšalnega financiranja</w:t>
            </w:r>
            <w:r w:rsidRPr="00725C0A">
              <w:rPr>
                <w:rFonts w:ascii="Arial" w:hAnsi="Arial" w:cs="Arial"/>
                <w:sz w:val="20"/>
                <w:szCs w:val="20"/>
              </w:rPr>
              <w:t xml:space="preserve"> bo v večini razpisov EIC odpravila zahteve po finančnem poročanju za upravičence.</w:t>
            </w:r>
          </w:p>
        </w:tc>
      </w:tr>
      <w:tr w:rsidR="0042783C" w:rsidRPr="00725C0A" w:rsidTr="0042783C">
        <w:tc>
          <w:tcPr>
            <w:tcW w:w="9212" w:type="dxa"/>
          </w:tcPr>
          <w:p w:rsidR="0042783C" w:rsidRPr="00725C0A" w:rsidRDefault="00B132FA" w:rsidP="00725C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C0A">
              <w:rPr>
                <w:rFonts w:ascii="Arial" w:hAnsi="Arial" w:cs="Arial"/>
                <w:sz w:val="20"/>
                <w:szCs w:val="20"/>
              </w:rPr>
              <w:t xml:space="preserve">Posodobitev posebnih pravil o </w:t>
            </w:r>
            <w:r w:rsidRPr="00725C0A">
              <w:rPr>
                <w:rFonts w:ascii="Arial" w:hAnsi="Arial" w:cs="Arial"/>
                <w:b/>
                <w:sz w:val="20"/>
                <w:szCs w:val="20"/>
              </w:rPr>
              <w:t>intelektualni lastnini</w:t>
            </w:r>
          </w:p>
        </w:tc>
      </w:tr>
      <w:tr w:rsidR="0042783C" w:rsidRPr="00725C0A" w:rsidTr="0042783C">
        <w:tc>
          <w:tcPr>
            <w:tcW w:w="9212" w:type="dxa"/>
          </w:tcPr>
          <w:p w:rsidR="0042783C" w:rsidRPr="00725C0A" w:rsidRDefault="00B132FA" w:rsidP="00725C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C0A">
              <w:rPr>
                <w:rFonts w:ascii="Arial" w:hAnsi="Arial" w:cs="Arial"/>
                <w:sz w:val="20"/>
                <w:szCs w:val="20"/>
              </w:rPr>
              <w:t xml:space="preserve">Uvedba </w:t>
            </w:r>
            <w:r w:rsidRPr="00725C0A">
              <w:rPr>
                <w:rFonts w:ascii="Arial" w:hAnsi="Arial" w:cs="Arial"/>
                <w:b/>
                <w:sz w:val="20"/>
                <w:szCs w:val="20"/>
              </w:rPr>
              <w:t>sestankov, namenjenih za dosego soglasja</w:t>
            </w:r>
            <w:r w:rsidRPr="00725C0A">
              <w:rPr>
                <w:rFonts w:ascii="Arial" w:hAnsi="Arial" w:cs="Arial"/>
                <w:sz w:val="20"/>
                <w:szCs w:val="20"/>
              </w:rPr>
              <w:t xml:space="preserve"> za vloge za pospeševalnik EIC, da bi izboljšali zanesljivost postopka ocenjevanja</w:t>
            </w:r>
          </w:p>
        </w:tc>
      </w:tr>
      <w:tr w:rsidR="0042783C" w:rsidRPr="00725C0A" w:rsidTr="0042783C">
        <w:tc>
          <w:tcPr>
            <w:tcW w:w="9212" w:type="dxa"/>
          </w:tcPr>
          <w:p w:rsidR="0042783C" w:rsidRPr="00725C0A" w:rsidRDefault="00B132FA" w:rsidP="00725C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C0A">
              <w:rPr>
                <w:rFonts w:ascii="Arial" w:hAnsi="Arial" w:cs="Arial"/>
                <w:b/>
                <w:sz w:val="20"/>
                <w:szCs w:val="20"/>
              </w:rPr>
              <w:t>Prožnost sklada EIC</w:t>
            </w:r>
            <w:r w:rsidRPr="00725C0A">
              <w:rPr>
                <w:rFonts w:ascii="Arial" w:hAnsi="Arial" w:cs="Arial"/>
                <w:sz w:val="20"/>
                <w:szCs w:val="20"/>
              </w:rPr>
              <w:t>, da lahko</w:t>
            </w:r>
            <w:r w:rsidR="00725C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5C0A">
              <w:rPr>
                <w:rFonts w:ascii="Arial" w:hAnsi="Arial" w:cs="Arial"/>
                <w:sz w:val="20"/>
                <w:szCs w:val="20"/>
              </w:rPr>
              <w:t>poveča ali odloži naložbe v izbrana podjetja in se tako bolje odzove na njihove potrebe in razvoj trga.</w:t>
            </w:r>
          </w:p>
        </w:tc>
      </w:tr>
      <w:tr w:rsidR="0042783C" w:rsidRPr="00725C0A" w:rsidTr="0042783C">
        <w:tc>
          <w:tcPr>
            <w:tcW w:w="9212" w:type="dxa"/>
          </w:tcPr>
          <w:p w:rsidR="0042783C" w:rsidRPr="00725C0A" w:rsidRDefault="00B132FA" w:rsidP="00725C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C0A">
              <w:rPr>
                <w:rFonts w:ascii="Arial" w:hAnsi="Arial" w:cs="Arial"/>
                <w:b/>
                <w:sz w:val="20"/>
                <w:szCs w:val="20"/>
              </w:rPr>
              <w:t>Odprtje prehodnega financiranja EIC</w:t>
            </w:r>
            <w:r w:rsidRPr="00725C0A">
              <w:rPr>
                <w:rFonts w:ascii="Arial" w:hAnsi="Arial" w:cs="Arial"/>
                <w:sz w:val="20"/>
                <w:szCs w:val="20"/>
              </w:rPr>
              <w:t xml:space="preserve"> za nadaljnje spremljanje rezultatov projektov v okviru programa Obzorje, poleg rezultatov projektov ERC Potrditev koncepta (</w:t>
            </w:r>
            <w:proofErr w:type="spellStart"/>
            <w:r w:rsidRPr="00725C0A">
              <w:rPr>
                <w:rFonts w:ascii="Arial" w:hAnsi="Arial" w:cs="Arial"/>
                <w:sz w:val="20"/>
                <w:szCs w:val="20"/>
              </w:rPr>
              <w:t>Proof</w:t>
            </w:r>
            <w:proofErr w:type="spellEnd"/>
            <w:r w:rsidRPr="00725C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5C0A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25C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5C0A">
              <w:rPr>
                <w:rFonts w:ascii="Arial" w:hAnsi="Arial" w:cs="Arial"/>
                <w:sz w:val="20"/>
                <w:szCs w:val="20"/>
              </w:rPr>
              <w:t>Concept</w:t>
            </w:r>
            <w:proofErr w:type="spellEnd"/>
            <w:r w:rsidRPr="00725C0A">
              <w:rPr>
                <w:rFonts w:ascii="Arial" w:hAnsi="Arial" w:cs="Arial"/>
                <w:sz w:val="20"/>
                <w:szCs w:val="20"/>
              </w:rPr>
              <w:t>), EIC Iskalec (</w:t>
            </w:r>
            <w:proofErr w:type="spellStart"/>
            <w:r w:rsidRPr="00725C0A">
              <w:rPr>
                <w:rFonts w:ascii="Arial" w:hAnsi="Arial" w:cs="Arial"/>
                <w:sz w:val="20"/>
                <w:szCs w:val="20"/>
              </w:rPr>
              <w:t>Pathfinder</w:t>
            </w:r>
            <w:proofErr w:type="spellEnd"/>
            <w:r w:rsidRPr="00725C0A">
              <w:rPr>
                <w:rFonts w:ascii="Arial" w:hAnsi="Arial" w:cs="Arial"/>
                <w:sz w:val="20"/>
                <w:szCs w:val="20"/>
              </w:rPr>
              <w:t>) in Evropskega obrambnega sklada.</w:t>
            </w:r>
          </w:p>
        </w:tc>
      </w:tr>
    </w:tbl>
    <w:p w:rsidR="0042783C" w:rsidRPr="00725C0A" w:rsidRDefault="00B132FA" w:rsidP="00725C0A">
      <w:pPr>
        <w:jc w:val="both"/>
        <w:rPr>
          <w:rFonts w:ascii="Arial" w:hAnsi="Arial" w:cs="Arial"/>
          <w:sz w:val="20"/>
          <w:szCs w:val="20"/>
        </w:rPr>
      </w:pPr>
      <w:r w:rsidRPr="00725C0A">
        <w:rPr>
          <w:rFonts w:ascii="Arial" w:hAnsi="Arial" w:cs="Arial"/>
          <w:sz w:val="20"/>
          <w:szCs w:val="20"/>
        </w:rPr>
        <w:t>Vir: Evropska komisija</w:t>
      </w:r>
    </w:p>
    <w:p w:rsidR="00F70BDC" w:rsidRDefault="00F70BDC" w:rsidP="00725C0A">
      <w:pPr>
        <w:jc w:val="both"/>
        <w:rPr>
          <w:rFonts w:ascii="Arial" w:hAnsi="Arial" w:cs="Arial"/>
          <w:b/>
          <w:sz w:val="20"/>
          <w:szCs w:val="20"/>
        </w:rPr>
      </w:pPr>
    </w:p>
    <w:p w:rsidR="00F70BDC" w:rsidRDefault="00F70BDC" w:rsidP="00725C0A">
      <w:pPr>
        <w:jc w:val="both"/>
        <w:rPr>
          <w:rFonts w:ascii="Arial" w:hAnsi="Arial" w:cs="Arial"/>
          <w:b/>
          <w:sz w:val="20"/>
          <w:szCs w:val="20"/>
        </w:rPr>
      </w:pPr>
    </w:p>
    <w:p w:rsidR="00B132FA" w:rsidRPr="00725C0A" w:rsidRDefault="00B132FA" w:rsidP="00725C0A">
      <w:pPr>
        <w:jc w:val="both"/>
        <w:rPr>
          <w:rFonts w:ascii="Arial" w:hAnsi="Arial" w:cs="Arial"/>
          <w:b/>
          <w:sz w:val="20"/>
          <w:szCs w:val="20"/>
        </w:rPr>
      </w:pPr>
      <w:r w:rsidRPr="00725C0A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B132FA" w:rsidRPr="00725C0A" w:rsidRDefault="00B132FA" w:rsidP="00725C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25C0A">
        <w:rPr>
          <w:rFonts w:ascii="Arial" w:hAnsi="Arial" w:cs="Arial"/>
          <w:sz w:val="20"/>
          <w:szCs w:val="20"/>
        </w:rPr>
        <w:t>Program dela:</w:t>
      </w:r>
    </w:p>
    <w:p w:rsidR="00B132FA" w:rsidRDefault="00B132FA" w:rsidP="00725C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25C0A">
          <w:rPr>
            <w:rStyle w:val="Hiperpovezava"/>
            <w:rFonts w:ascii="Arial" w:hAnsi="Arial" w:cs="Arial"/>
            <w:sz w:val="20"/>
            <w:szCs w:val="20"/>
          </w:rPr>
          <w:t>https://eic.ec.europa.eu/eic-2024-work-programme_en</w:t>
        </w:r>
      </w:hyperlink>
    </w:p>
    <w:p w:rsidR="00F70BDC" w:rsidRDefault="00F70BDC" w:rsidP="00725C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Informacije o informativnem dnevu 15. januarja 2024:</w:t>
      </w:r>
    </w:p>
    <w:p w:rsidR="00F70BDC" w:rsidRDefault="00F70BDC" w:rsidP="00725C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B168D">
          <w:rPr>
            <w:rStyle w:val="Hiperpovezava"/>
            <w:rFonts w:ascii="Arial" w:hAnsi="Arial" w:cs="Arial"/>
            <w:sz w:val="20"/>
            <w:szCs w:val="20"/>
          </w:rPr>
          <w:t>https://eic.ec.europa.eu/events/save-date-european-innovation-council-online-info-day-work-programme-2024-15-january-2024-2024-01-15_en</w:t>
        </w:r>
      </w:hyperlink>
    </w:p>
    <w:p w:rsidR="00F70BDC" w:rsidRDefault="00F70BDC" w:rsidP="00725C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Informacije o informativnem dnevu 16. januarja 2024:</w:t>
      </w:r>
    </w:p>
    <w:p w:rsidR="00F70BDC" w:rsidRPr="00725C0A" w:rsidRDefault="00F70BDC" w:rsidP="00725C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1B168D">
          <w:rPr>
            <w:rStyle w:val="Hiperpovezava"/>
            <w:rFonts w:ascii="Arial" w:hAnsi="Arial" w:cs="Arial"/>
            <w:sz w:val="20"/>
            <w:szCs w:val="20"/>
          </w:rPr>
          <w:t>https://eic.ec.europa.eu/events/save-date-european-innovation-council-accelerator-challenges-work-programme-2024-online-info-day-2024-01-16_en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B132FA" w:rsidRPr="00725C0A" w:rsidRDefault="00B132FA" w:rsidP="00725C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25C0A">
        <w:rPr>
          <w:rFonts w:ascii="Arial" w:hAnsi="Arial" w:cs="Arial"/>
          <w:sz w:val="20"/>
          <w:szCs w:val="20"/>
        </w:rPr>
        <w:t>Pripravila:</w:t>
      </w:r>
    </w:p>
    <w:p w:rsidR="00B132FA" w:rsidRPr="00725C0A" w:rsidRDefault="00B132FA" w:rsidP="00725C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25C0A">
        <w:rPr>
          <w:rFonts w:ascii="Arial" w:hAnsi="Arial" w:cs="Arial"/>
          <w:sz w:val="20"/>
          <w:szCs w:val="20"/>
        </w:rPr>
        <w:t>Darja Kocbek</w:t>
      </w:r>
    </w:p>
    <w:sectPr w:rsidR="00B132FA" w:rsidRPr="00725C0A" w:rsidSect="00D4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77DA4"/>
    <w:multiLevelType w:val="hybridMultilevel"/>
    <w:tmpl w:val="7CEAB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500"/>
    <w:rsid w:val="0042783C"/>
    <w:rsid w:val="00725C0A"/>
    <w:rsid w:val="008E7672"/>
    <w:rsid w:val="00AA4500"/>
    <w:rsid w:val="00B132FA"/>
    <w:rsid w:val="00B73E58"/>
    <w:rsid w:val="00D41ECF"/>
    <w:rsid w:val="00F7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1EC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7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A4500"/>
    <w:rPr>
      <w:b/>
      <w:bCs/>
    </w:rPr>
  </w:style>
  <w:style w:type="table" w:styleId="Tabela-mrea">
    <w:name w:val="Table Grid"/>
    <w:basedOn w:val="Navadnatabela"/>
    <w:uiPriority w:val="59"/>
    <w:rsid w:val="00427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B132F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25C0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E7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c.ec.europa.eu/events/save-date-european-innovation-council-accelerator-challenges-work-programme-2024-online-info-day-2024-01-16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c.ec.europa.eu/events/save-date-european-innovation-council-online-info-day-work-programme-2024-15-january-2024-2024-01-15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c.ec.europa.eu/eic-2024-work-programme_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2023-12-12T21:27:00Z</dcterms:created>
  <dcterms:modified xsi:type="dcterms:W3CDTF">2023-12-12T21:56:00Z</dcterms:modified>
</cp:coreProperties>
</file>