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65FA" w:rsidRPr="00467345" w:rsidRDefault="00D765FA" w:rsidP="00D765FA">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D765FA" w:rsidRPr="00083714" w:rsidRDefault="00D765FA" w:rsidP="00D765FA">
      <w:pPr>
        <w:pStyle w:val="Naslov2"/>
        <w:tabs>
          <w:tab w:val="left" w:pos="3120"/>
        </w:tabs>
        <w:spacing w:before="240"/>
        <w:jc w:val="center"/>
        <w:rPr>
          <w:b w:val="0"/>
          <w:bCs w:val="0"/>
          <w:i/>
          <w:iCs/>
          <w:sz w:val="22"/>
        </w:rPr>
      </w:pPr>
      <w:r w:rsidRPr="00083714">
        <w:rPr>
          <w:sz w:val="22"/>
        </w:rPr>
        <w:t>Slovensko gospodarsko in raziskovalno združenje, Bruselj</w:t>
      </w:r>
    </w:p>
    <w:p w:rsidR="00D765FA" w:rsidRPr="00083714" w:rsidRDefault="00D765FA" w:rsidP="00D765FA">
      <w:pPr>
        <w:pBdr>
          <w:bottom w:val="single" w:sz="6" w:space="1" w:color="auto"/>
        </w:pBdr>
        <w:tabs>
          <w:tab w:val="left" w:pos="3120"/>
        </w:tabs>
        <w:spacing w:before="240"/>
        <w:jc w:val="center"/>
        <w:rPr>
          <w:sz w:val="16"/>
          <w:szCs w:val="16"/>
        </w:rPr>
      </w:pPr>
    </w:p>
    <w:p w:rsidR="00D765FA" w:rsidRDefault="00D765FA" w:rsidP="00D765FA">
      <w:pPr>
        <w:tabs>
          <w:tab w:val="left" w:pos="3120"/>
        </w:tabs>
        <w:spacing w:before="240"/>
        <w:rPr>
          <w:b/>
        </w:rPr>
      </w:pPr>
      <w:r w:rsidRPr="00083714">
        <w:rPr>
          <w:b/>
        </w:rPr>
        <w:tab/>
      </w:r>
      <w:r>
        <w:rPr>
          <w:b/>
        </w:rPr>
        <w:t xml:space="preserve">Občasna informacija članom 194 </w:t>
      </w:r>
      <w:r w:rsidRPr="00083714">
        <w:rPr>
          <w:b/>
        </w:rPr>
        <w:t>– 20</w:t>
      </w:r>
      <w:r>
        <w:rPr>
          <w:b/>
        </w:rPr>
        <w:t>21</w:t>
      </w:r>
    </w:p>
    <w:p w:rsidR="00D765FA" w:rsidRPr="0084452F" w:rsidRDefault="00D765FA" w:rsidP="00D765FA">
      <w:pPr>
        <w:tabs>
          <w:tab w:val="left" w:pos="3120"/>
        </w:tabs>
        <w:spacing w:before="240"/>
        <w:jc w:val="center"/>
        <w:rPr>
          <w:b/>
        </w:rPr>
      </w:pPr>
      <w:r>
        <w:rPr>
          <w:b/>
        </w:rPr>
        <w:t xml:space="preserve">20. december </w:t>
      </w:r>
      <w:r w:rsidRPr="00083714">
        <w:rPr>
          <w:b/>
        </w:rPr>
        <w:t xml:space="preserve"> 20</w:t>
      </w:r>
      <w:r>
        <w:rPr>
          <w:b/>
        </w:rPr>
        <w:t>21</w:t>
      </w:r>
    </w:p>
    <w:p w:rsidR="00D765FA" w:rsidRDefault="00D765FA" w:rsidP="00D765FA">
      <w:pPr>
        <w:spacing w:before="240"/>
        <w:jc w:val="center"/>
        <w:rPr>
          <w:rFonts w:ascii="Arial" w:hAnsi="Arial"/>
          <w:b/>
          <w:i/>
          <w:sz w:val="22"/>
          <w:szCs w:val="22"/>
        </w:rPr>
      </w:pPr>
      <w:r>
        <w:rPr>
          <w:b/>
          <w:color w:val="993300"/>
          <w:sz w:val="32"/>
          <w:szCs w:val="32"/>
        </w:rPr>
        <w:t xml:space="preserve">Evropska komisija je objavila predlog za </w:t>
      </w:r>
      <w:proofErr w:type="spellStart"/>
      <w:r>
        <w:rPr>
          <w:b/>
          <w:color w:val="993300"/>
          <w:sz w:val="32"/>
          <w:szCs w:val="32"/>
        </w:rPr>
        <w:t>razogljičenje</w:t>
      </w:r>
      <w:proofErr w:type="spellEnd"/>
      <w:r>
        <w:rPr>
          <w:b/>
          <w:color w:val="993300"/>
          <w:sz w:val="32"/>
          <w:szCs w:val="32"/>
        </w:rPr>
        <w:t xml:space="preserve"> stavb  v EU do leta 2050</w:t>
      </w:r>
    </w:p>
    <w:p w:rsidR="00CD2B5E" w:rsidRPr="00D765FA" w:rsidRDefault="00251F8B" w:rsidP="00FF3CBD">
      <w:pPr>
        <w:spacing w:before="240"/>
        <w:jc w:val="both"/>
        <w:rPr>
          <w:rFonts w:ascii="Arial" w:hAnsi="Arial"/>
          <w:b/>
          <w:i/>
          <w:sz w:val="22"/>
          <w:szCs w:val="22"/>
        </w:rPr>
      </w:pPr>
      <w:r w:rsidRPr="00D765FA">
        <w:rPr>
          <w:rFonts w:ascii="Arial" w:hAnsi="Arial"/>
          <w:b/>
          <w:i/>
          <w:sz w:val="22"/>
          <w:szCs w:val="22"/>
        </w:rPr>
        <w:t xml:space="preserve">Evropska komisija je objavila predlog za </w:t>
      </w:r>
      <w:proofErr w:type="spellStart"/>
      <w:r w:rsidRPr="00D765FA">
        <w:rPr>
          <w:rFonts w:ascii="Arial" w:hAnsi="Arial"/>
          <w:b/>
          <w:i/>
          <w:sz w:val="22"/>
          <w:szCs w:val="22"/>
        </w:rPr>
        <w:t>razogljičenje</w:t>
      </w:r>
      <w:proofErr w:type="spellEnd"/>
      <w:r w:rsidRPr="00D765FA">
        <w:rPr>
          <w:rFonts w:ascii="Arial" w:hAnsi="Arial"/>
          <w:b/>
          <w:i/>
          <w:sz w:val="22"/>
          <w:szCs w:val="22"/>
        </w:rPr>
        <w:t xml:space="preserve"> stavb EU do leta 2050. Na podlagi predlaganih pravil bi morale biti </w:t>
      </w:r>
      <w:r w:rsidR="008524BD" w:rsidRPr="00D765FA">
        <w:rPr>
          <w:rFonts w:ascii="Arial" w:hAnsi="Arial"/>
          <w:b/>
          <w:i/>
          <w:sz w:val="22"/>
          <w:szCs w:val="22"/>
        </w:rPr>
        <w:t>po letu</w:t>
      </w:r>
      <w:r w:rsidRPr="00D765FA">
        <w:rPr>
          <w:rFonts w:ascii="Arial" w:hAnsi="Arial"/>
          <w:b/>
          <w:i/>
          <w:sz w:val="22"/>
          <w:szCs w:val="22"/>
        </w:rPr>
        <w:t xml:space="preserve"> 2030 vse nove stavbe </w:t>
      </w:r>
      <w:r w:rsidR="00C14AFE" w:rsidRPr="00D765FA">
        <w:rPr>
          <w:rFonts w:ascii="Arial" w:hAnsi="Arial"/>
          <w:b/>
          <w:i/>
          <w:sz w:val="22"/>
          <w:szCs w:val="22"/>
        </w:rPr>
        <w:t xml:space="preserve">v EU </w:t>
      </w:r>
      <w:r w:rsidR="00D70390">
        <w:rPr>
          <w:rFonts w:ascii="Arial" w:hAnsi="Arial"/>
          <w:b/>
          <w:i/>
          <w:sz w:val="22"/>
          <w:szCs w:val="22"/>
        </w:rPr>
        <w:t>brez izpustov</w:t>
      </w:r>
      <w:r w:rsidRPr="00D765FA">
        <w:rPr>
          <w:rFonts w:ascii="Arial" w:hAnsi="Arial"/>
          <w:b/>
          <w:i/>
          <w:sz w:val="22"/>
          <w:szCs w:val="22"/>
        </w:rPr>
        <w:t xml:space="preserve">. </w:t>
      </w:r>
      <w:r w:rsidR="00D765FA" w:rsidRPr="00D765FA">
        <w:rPr>
          <w:rFonts w:ascii="Arial" w:hAnsi="Arial"/>
          <w:b/>
          <w:i/>
          <w:sz w:val="22"/>
          <w:szCs w:val="22"/>
        </w:rPr>
        <w:t>V predlogu so p</w:t>
      </w:r>
      <w:r w:rsidR="00C14AFE" w:rsidRPr="00D765FA">
        <w:rPr>
          <w:rFonts w:ascii="Arial" w:hAnsi="Arial"/>
          <w:b/>
          <w:i/>
          <w:sz w:val="22"/>
          <w:szCs w:val="22"/>
        </w:rPr>
        <w:t>redvidene energetske izkaznice z boljšimi podatki, vključitev nacionalnih načrtov za prenovo stavb v nacionalne energetske in podnebne načrte ter posodobitev infrastrukture za polnjenje električnih vozil.</w:t>
      </w:r>
      <w:r w:rsidR="00CB58A8" w:rsidRPr="00D765FA">
        <w:rPr>
          <w:rFonts w:ascii="Arial" w:hAnsi="Arial"/>
          <w:b/>
          <w:i/>
          <w:sz w:val="22"/>
          <w:szCs w:val="22"/>
        </w:rPr>
        <w:t xml:space="preserve"> Člani lahko dobijo več informacij na SBRA.</w:t>
      </w:r>
    </w:p>
    <w:p w:rsidR="00CB58A8" w:rsidRDefault="00CB58A8" w:rsidP="00FF3CBD">
      <w:pPr>
        <w:spacing w:before="240"/>
        <w:jc w:val="both"/>
        <w:rPr>
          <w:rFonts w:ascii="Arial" w:hAnsi="Arial"/>
          <w:sz w:val="20"/>
          <w:szCs w:val="20"/>
        </w:rPr>
      </w:pPr>
      <w:r w:rsidRPr="00FF3CBD">
        <w:rPr>
          <w:rFonts w:ascii="Arial" w:hAnsi="Arial"/>
          <w:sz w:val="20"/>
          <w:szCs w:val="20"/>
        </w:rPr>
        <w:t>S predlogom za vključitev nacionalnih načrtov za prenovo stavb v nacionalne energetske in podnebne načrte želi Evropska komisija zagotoviti primerljivost in sledenje napredku ter neposredno povezavo z mobilizacijo finančnih sredstev in sprožitvijo potrebnih reform in naložb. Ti načrti bodo po njenem predlogu morali vključevati načrte za postopno opustitev fosilnih goriv pri ogrevanju in hlajenju najpozneje do leta 2040, pa načrt za preoblikovanje nacionalnega stavbnega fonda v stavbe z ničelnimi emisijami do leta 2050.</w:t>
      </w:r>
    </w:p>
    <w:p w:rsidR="00D765FA" w:rsidRPr="00D765FA" w:rsidRDefault="00D765FA" w:rsidP="00D765FA">
      <w:pPr>
        <w:spacing w:before="240"/>
        <w:jc w:val="both"/>
        <w:rPr>
          <w:rFonts w:ascii="Arial" w:hAnsi="Arial"/>
          <w:sz w:val="20"/>
          <w:szCs w:val="20"/>
        </w:rPr>
      </w:pPr>
      <w:r w:rsidRPr="00D765FA">
        <w:rPr>
          <w:rFonts w:ascii="Arial" w:hAnsi="Arial"/>
          <w:sz w:val="20"/>
          <w:szCs w:val="20"/>
        </w:rPr>
        <w:t xml:space="preserve">V skladu z zahtevo minimalnih standardov energetske učinkovitosti na ravni EU, da se posodobi 15 odstotkov stavbnega fonda z najslabšo energetsko učinkovitostjo v vsaki državi članici, bo najpozneje do leta 2027 treba prenoviti zlasti javne in </w:t>
      </w:r>
      <w:proofErr w:type="spellStart"/>
      <w:r w:rsidRPr="00D765FA">
        <w:rPr>
          <w:rFonts w:ascii="Arial" w:hAnsi="Arial"/>
          <w:sz w:val="20"/>
          <w:szCs w:val="20"/>
        </w:rPr>
        <w:t>nestanovanjske</w:t>
      </w:r>
      <w:proofErr w:type="spellEnd"/>
      <w:r w:rsidRPr="00D765FA">
        <w:rPr>
          <w:rFonts w:ascii="Arial" w:hAnsi="Arial"/>
          <w:sz w:val="20"/>
          <w:szCs w:val="20"/>
        </w:rPr>
        <w:t xml:space="preserve"> stavbe, da bodo dosegle raven energetske učinkovitosti vsaj F, raven E pa najpozneje do leta 2030. Stanovanjske stavbe bo treba prenoviti tako, da se bo njihova energetska učinkovitost izboljšala z G na vsaj F do leta 2030, na vsaj E pa do leta 2033. Države članice bodo morale nato z novimi nacionalnimi načrti prenove stavb določiti posebne roke za doseganje višjih razredov energetske učinkovitosti v skladu s svojo potjo za doseganje stavb z ničelnimi emisijami do leta 2050. </w:t>
      </w:r>
    </w:p>
    <w:p w:rsidR="00C14AFE" w:rsidRPr="00D765FA" w:rsidRDefault="00CB58A8" w:rsidP="00D765FA">
      <w:pPr>
        <w:spacing w:before="240"/>
        <w:jc w:val="both"/>
        <w:rPr>
          <w:rFonts w:ascii="Arial" w:hAnsi="Arial"/>
          <w:b/>
          <w:sz w:val="20"/>
          <w:szCs w:val="20"/>
        </w:rPr>
      </w:pPr>
      <w:r w:rsidRPr="00D765FA">
        <w:rPr>
          <w:rFonts w:ascii="Arial" w:hAnsi="Arial"/>
          <w:b/>
          <w:sz w:val="20"/>
          <w:szCs w:val="20"/>
        </w:rPr>
        <w:t>Koristne informacije:</w:t>
      </w:r>
    </w:p>
    <w:p w:rsidR="00CB58A8" w:rsidRPr="00D765FA" w:rsidRDefault="00CB58A8" w:rsidP="00D765FA">
      <w:pPr>
        <w:pStyle w:val="Odstavekseznama"/>
        <w:numPr>
          <w:ilvl w:val="0"/>
          <w:numId w:val="1"/>
        </w:numPr>
        <w:spacing w:before="240"/>
        <w:jc w:val="both"/>
        <w:rPr>
          <w:rFonts w:ascii="Arial" w:hAnsi="Arial"/>
          <w:sz w:val="20"/>
          <w:szCs w:val="20"/>
        </w:rPr>
      </w:pPr>
      <w:r w:rsidRPr="00D765FA">
        <w:rPr>
          <w:rFonts w:ascii="Arial" w:hAnsi="Arial"/>
          <w:sz w:val="20"/>
          <w:szCs w:val="20"/>
        </w:rPr>
        <w:t>Predlog direktive:</w:t>
      </w:r>
    </w:p>
    <w:p w:rsidR="00CB58A8" w:rsidRPr="00D765FA" w:rsidRDefault="00CB58A8" w:rsidP="00D765FA">
      <w:pPr>
        <w:pStyle w:val="Odstavekseznama"/>
        <w:numPr>
          <w:ilvl w:val="0"/>
          <w:numId w:val="1"/>
        </w:numPr>
        <w:spacing w:before="240"/>
        <w:jc w:val="both"/>
        <w:rPr>
          <w:rFonts w:ascii="Arial" w:hAnsi="Arial"/>
          <w:sz w:val="20"/>
          <w:szCs w:val="20"/>
        </w:rPr>
      </w:pPr>
      <w:hyperlink r:id="rId6" w:history="1">
        <w:r w:rsidRPr="00D765FA">
          <w:rPr>
            <w:rStyle w:val="Hiperpovezava"/>
            <w:rFonts w:ascii="Arial" w:hAnsi="Arial" w:cs="Arial"/>
            <w:sz w:val="20"/>
            <w:szCs w:val="20"/>
          </w:rPr>
          <w:t>https://ec.europa.eu/energy/sites/default/files/proposal-recast-energy-performance-buildings-directive.pdf</w:t>
        </w:r>
      </w:hyperlink>
    </w:p>
    <w:p w:rsidR="00CB58A8" w:rsidRPr="00D765FA" w:rsidRDefault="00CB58A8" w:rsidP="00D765FA">
      <w:pPr>
        <w:pStyle w:val="Odstavekseznama"/>
        <w:numPr>
          <w:ilvl w:val="0"/>
          <w:numId w:val="1"/>
        </w:numPr>
        <w:spacing w:before="240"/>
        <w:jc w:val="both"/>
        <w:rPr>
          <w:rFonts w:ascii="Arial" w:hAnsi="Arial"/>
          <w:sz w:val="20"/>
          <w:szCs w:val="20"/>
        </w:rPr>
      </w:pPr>
      <w:r w:rsidRPr="00D765FA">
        <w:rPr>
          <w:rFonts w:ascii="Arial" w:hAnsi="Arial"/>
          <w:sz w:val="20"/>
          <w:szCs w:val="20"/>
        </w:rPr>
        <w:t>Aneksi:</w:t>
      </w:r>
    </w:p>
    <w:p w:rsidR="00CB58A8" w:rsidRPr="00D765FA" w:rsidRDefault="00CB58A8" w:rsidP="00D765FA">
      <w:pPr>
        <w:pStyle w:val="Odstavekseznama"/>
        <w:numPr>
          <w:ilvl w:val="0"/>
          <w:numId w:val="1"/>
        </w:numPr>
        <w:spacing w:before="240"/>
        <w:jc w:val="both"/>
        <w:rPr>
          <w:rFonts w:ascii="Arial" w:hAnsi="Arial"/>
          <w:sz w:val="20"/>
          <w:szCs w:val="20"/>
        </w:rPr>
      </w:pPr>
      <w:hyperlink r:id="rId7" w:history="1">
        <w:r w:rsidRPr="00D765FA">
          <w:rPr>
            <w:rStyle w:val="Hiperpovezava"/>
            <w:rFonts w:ascii="Arial" w:hAnsi="Arial" w:cs="Arial"/>
            <w:sz w:val="20"/>
            <w:szCs w:val="20"/>
          </w:rPr>
          <w:t>https://ec.europa.eu/energy/sites/default/files/annex-proposal-recast-energy-performance-of-buildings-directive.pdf</w:t>
        </w:r>
      </w:hyperlink>
    </w:p>
    <w:p w:rsidR="00CB58A8" w:rsidRPr="00D765FA" w:rsidRDefault="00CB58A8" w:rsidP="00D765FA">
      <w:pPr>
        <w:pStyle w:val="Odstavekseznama"/>
        <w:numPr>
          <w:ilvl w:val="0"/>
          <w:numId w:val="1"/>
        </w:numPr>
        <w:spacing w:before="240"/>
        <w:jc w:val="both"/>
        <w:rPr>
          <w:rFonts w:ascii="Arial" w:hAnsi="Arial"/>
          <w:sz w:val="20"/>
          <w:szCs w:val="20"/>
        </w:rPr>
      </w:pPr>
      <w:r w:rsidRPr="00D765FA">
        <w:rPr>
          <w:rFonts w:ascii="Arial" w:hAnsi="Arial"/>
          <w:sz w:val="20"/>
          <w:szCs w:val="20"/>
        </w:rPr>
        <w:t>Spletna stran z informacijami o energetski prenovi stavb:</w:t>
      </w:r>
    </w:p>
    <w:p w:rsidR="00CB58A8" w:rsidRPr="00D765FA" w:rsidRDefault="00CB58A8" w:rsidP="00D765FA">
      <w:pPr>
        <w:pStyle w:val="Odstavekseznama"/>
        <w:numPr>
          <w:ilvl w:val="0"/>
          <w:numId w:val="1"/>
        </w:numPr>
        <w:spacing w:before="240"/>
        <w:jc w:val="both"/>
        <w:rPr>
          <w:rFonts w:ascii="Arial" w:hAnsi="Arial"/>
          <w:sz w:val="20"/>
          <w:szCs w:val="20"/>
        </w:rPr>
      </w:pPr>
      <w:hyperlink r:id="rId8" w:history="1">
        <w:r w:rsidRPr="00D765FA">
          <w:rPr>
            <w:rStyle w:val="Hiperpovezava"/>
            <w:rFonts w:ascii="Arial" w:hAnsi="Arial" w:cs="Arial"/>
            <w:sz w:val="20"/>
            <w:szCs w:val="20"/>
          </w:rPr>
          <w:t>https://ec.europa.eu/energy/topics/energy-efficiency/energy-efficient-buildings/energy-performance-buildings-directive_en</w:t>
        </w:r>
      </w:hyperlink>
    </w:p>
    <w:p w:rsidR="00CB58A8" w:rsidRPr="00D765FA" w:rsidRDefault="00CB58A8" w:rsidP="00D765FA">
      <w:pPr>
        <w:pStyle w:val="Odstavekseznama"/>
        <w:numPr>
          <w:ilvl w:val="0"/>
          <w:numId w:val="1"/>
        </w:numPr>
        <w:spacing w:before="240"/>
        <w:jc w:val="both"/>
        <w:rPr>
          <w:rFonts w:ascii="Arial" w:hAnsi="Arial"/>
          <w:sz w:val="20"/>
          <w:szCs w:val="20"/>
        </w:rPr>
      </w:pPr>
      <w:r w:rsidRPr="00D765FA">
        <w:rPr>
          <w:rFonts w:ascii="Arial" w:hAnsi="Arial"/>
          <w:sz w:val="20"/>
          <w:szCs w:val="20"/>
        </w:rPr>
        <w:t>Strategija Val prenove za Evropo:</w:t>
      </w:r>
    </w:p>
    <w:p w:rsidR="00CB58A8" w:rsidRPr="00D765FA" w:rsidRDefault="00CB58A8" w:rsidP="00D765FA">
      <w:pPr>
        <w:pStyle w:val="Odstavekseznama"/>
        <w:numPr>
          <w:ilvl w:val="0"/>
          <w:numId w:val="1"/>
        </w:numPr>
        <w:spacing w:before="240"/>
        <w:jc w:val="both"/>
        <w:rPr>
          <w:rFonts w:ascii="Arial" w:hAnsi="Arial"/>
          <w:sz w:val="20"/>
          <w:szCs w:val="20"/>
        </w:rPr>
      </w:pPr>
      <w:hyperlink r:id="rId9" w:history="1">
        <w:r w:rsidRPr="00D765FA">
          <w:rPr>
            <w:rStyle w:val="Hiperpovezava"/>
            <w:rFonts w:ascii="Arial" w:hAnsi="Arial" w:cs="Arial"/>
            <w:sz w:val="20"/>
            <w:szCs w:val="20"/>
          </w:rPr>
          <w:t>https://eur-lex.europa.eu/legal-content/SL/TXT/HTML/?uri=CELEX:52020DC0662&amp;from=EN</w:t>
        </w:r>
      </w:hyperlink>
    </w:p>
    <w:p w:rsidR="00CB58A8" w:rsidRPr="00D765FA" w:rsidRDefault="00CB58A8" w:rsidP="00D765FA">
      <w:pPr>
        <w:pStyle w:val="Odstavekseznama"/>
        <w:numPr>
          <w:ilvl w:val="0"/>
          <w:numId w:val="1"/>
        </w:numPr>
        <w:spacing w:before="240"/>
        <w:jc w:val="both"/>
        <w:rPr>
          <w:rFonts w:ascii="Arial" w:hAnsi="Arial"/>
          <w:sz w:val="20"/>
          <w:szCs w:val="20"/>
        </w:rPr>
      </w:pPr>
      <w:hyperlink r:id="rId10" w:history="1">
        <w:r w:rsidRPr="00D765FA">
          <w:rPr>
            <w:rStyle w:val="Hiperpovezava"/>
            <w:rFonts w:ascii="Arial" w:hAnsi="Arial" w:cs="Arial"/>
            <w:sz w:val="20"/>
            <w:szCs w:val="20"/>
          </w:rPr>
          <w:t>https://ec.europa.eu/energy/topics/energy-efficiency/energy-efficient-buildings/renovation-wave_en</w:t>
        </w:r>
      </w:hyperlink>
      <w:r w:rsidRPr="00D765FA">
        <w:rPr>
          <w:rFonts w:ascii="Arial" w:hAnsi="Arial"/>
          <w:sz w:val="20"/>
          <w:szCs w:val="20"/>
        </w:rPr>
        <w:t xml:space="preserve"> </w:t>
      </w:r>
    </w:p>
    <w:p w:rsidR="00CB58A8" w:rsidRPr="00D765FA" w:rsidRDefault="00CB58A8" w:rsidP="00D765FA">
      <w:pPr>
        <w:pStyle w:val="Odstavekseznama"/>
        <w:numPr>
          <w:ilvl w:val="0"/>
          <w:numId w:val="1"/>
        </w:numPr>
        <w:spacing w:before="240"/>
        <w:jc w:val="both"/>
        <w:rPr>
          <w:rFonts w:ascii="Arial" w:hAnsi="Arial"/>
          <w:sz w:val="20"/>
          <w:szCs w:val="20"/>
        </w:rPr>
      </w:pPr>
      <w:r w:rsidRPr="00D765FA">
        <w:rPr>
          <w:rFonts w:ascii="Arial" w:hAnsi="Arial"/>
          <w:sz w:val="20"/>
          <w:szCs w:val="20"/>
        </w:rPr>
        <w:t>Delovni dokument Evropske komisije z analizo nacionalnih dolgoročnih strategij za prenovo stavb:</w:t>
      </w:r>
    </w:p>
    <w:p w:rsidR="00CB58A8" w:rsidRPr="00D765FA" w:rsidRDefault="00CB58A8" w:rsidP="00D765FA">
      <w:pPr>
        <w:pStyle w:val="Odstavekseznama"/>
        <w:numPr>
          <w:ilvl w:val="0"/>
          <w:numId w:val="1"/>
        </w:numPr>
        <w:spacing w:before="240"/>
        <w:jc w:val="both"/>
        <w:rPr>
          <w:rFonts w:ascii="Arial" w:hAnsi="Arial"/>
          <w:sz w:val="20"/>
          <w:szCs w:val="20"/>
        </w:rPr>
      </w:pPr>
      <w:hyperlink r:id="rId11" w:history="1">
        <w:r w:rsidRPr="00D765FA">
          <w:rPr>
            <w:rStyle w:val="Hiperpovezava"/>
            <w:rFonts w:ascii="Arial" w:hAnsi="Arial" w:cs="Arial"/>
            <w:sz w:val="20"/>
            <w:szCs w:val="20"/>
          </w:rPr>
          <w:t>https://ec.europa.eu/energy/sites/default/files/swd-on-national-long-term-renovation-strategies.pdf</w:t>
        </w:r>
      </w:hyperlink>
    </w:p>
    <w:p w:rsidR="00CB58A8" w:rsidRPr="00D765FA" w:rsidRDefault="00CB58A8" w:rsidP="00D765FA">
      <w:pPr>
        <w:pStyle w:val="Odstavekseznama"/>
        <w:numPr>
          <w:ilvl w:val="0"/>
          <w:numId w:val="1"/>
        </w:numPr>
        <w:spacing w:before="240"/>
        <w:jc w:val="both"/>
        <w:rPr>
          <w:rFonts w:ascii="Arial" w:hAnsi="Arial"/>
          <w:sz w:val="20"/>
          <w:szCs w:val="20"/>
        </w:rPr>
      </w:pPr>
      <w:r w:rsidRPr="00D765FA">
        <w:rPr>
          <w:rFonts w:ascii="Arial" w:hAnsi="Arial"/>
          <w:sz w:val="20"/>
          <w:szCs w:val="20"/>
        </w:rPr>
        <w:t>Delovni dokument Evropske komisije o trajnostni gradnji:</w:t>
      </w:r>
    </w:p>
    <w:p w:rsidR="00CB58A8" w:rsidRPr="00D765FA" w:rsidRDefault="00CB58A8" w:rsidP="00D765FA">
      <w:pPr>
        <w:pStyle w:val="Odstavekseznama"/>
        <w:numPr>
          <w:ilvl w:val="0"/>
          <w:numId w:val="1"/>
        </w:numPr>
        <w:spacing w:before="240"/>
        <w:jc w:val="both"/>
        <w:rPr>
          <w:rFonts w:ascii="Arial" w:hAnsi="Arial"/>
          <w:sz w:val="20"/>
          <w:szCs w:val="20"/>
        </w:rPr>
      </w:pPr>
      <w:hyperlink r:id="rId12" w:history="1">
        <w:r w:rsidRPr="00D765FA">
          <w:rPr>
            <w:rStyle w:val="Hiperpovezava"/>
            <w:rFonts w:ascii="Arial" w:hAnsi="Arial" w:cs="Arial"/>
            <w:sz w:val="20"/>
            <w:szCs w:val="20"/>
          </w:rPr>
          <w:t>https://ec.europa.eu/growth/consultations/scenarios-transition-pathway-resilient-greener-and-more-digital-construction-ecosystem_sl</w:t>
        </w:r>
      </w:hyperlink>
    </w:p>
    <w:p w:rsidR="00CB58A8" w:rsidRPr="00FF3CBD" w:rsidRDefault="00CB58A8" w:rsidP="009041EC">
      <w:pPr>
        <w:spacing w:before="240"/>
        <w:jc w:val="both"/>
        <w:rPr>
          <w:rFonts w:ascii="Arial" w:hAnsi="Arial"/>
          <w:sz w:val="20"/>
          <w:szCs w:val="20"/>
        </w:rPr>
      </w:pPr>
      <w:r w:rsidRPr="00FF3CBD">
        <w:rPr>
          <w:rFonts w:ascii="Arial" w:hAnsi="Arial"/>
          <w:sz w:val="20"/>
          <w:szCs w:val="20"/>
        </w:rPr>
        <w:t>Pripravila:</w:t>
      </w:r>
    </w:p>
    <w:p w:rsidR="00CB58A8" w:rsidRPr="00FF3CBD" w:rsidRDefault="00CB58A8" w:rsidP="009041EC">
      <w:pPr>
        <w:jc w:val="both"/>
        <w:rPr>
          <w:rFonts w:ascii="Arial" w:hAnsi="Arial"/>
          <w:sz w:val="20"/>
          <w:szCs w:val="20"/>
        </w:rPr>
      </w:pPr>
      <w:r w:rsidRPr="00FF3CBD">
        <w:rPr>
          <w:rFonts w:ascii="Arial" w:hAnsi="Arial"/>
          <w:sz w:val="20"/>
          <w:szCs w:val="20"/>
        </w:rPr>
        <w:t>Darja Kocbek</w:t>
      </w:r>
    </w:p>
    <w:p w:rsidR="00CB58A8" w:rsidRDefault="00CB58A8" w:rsidP="009041EC"/>
    <w:p w:rsidR="00CB58A8" w:rsidRPr="00C14AFE" w:rsidRDefault="00CB58A8" w:rsidP="009041EC">
      <w:pPr>
        <w:spacing w:before="240"/>
      </w:pPr>
    </w:p>
    <w:sectPr w:rsidR="00CB58A8" w:rsidRPr="00C14AFE" w:rsidSect="00CD2B5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B8490B"/>
    <w:multiLevelType w:val="hybridMultilevel"/>
    <w:tmpl w:val="F594EED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51F8B"/>
    <w:rsid w:val="00251F8B"/>
    <w:rsid w:val="008524BD"/>
    <w:rsid w:val="009041EC"/>
    <w:rsid w:val="00C14AFE"/>
    <w:rsid w:val="00CB58A8"/>
    <w:rsid w:val="00CD2B5E"/>
    <w:rsid w:val="00D70390"/>
    <w:rsid w:val="00D765FA"/>
    <w:rsid w:val="00FF3CBD"/>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51F8B"/>
    <w:pPr>
      <w:spacing w:after="0" w:line="240" w:lineRule="auto"/>
    </w:pPr>
    <w:rPr>
      <w:rFonts w:ascii="Times New Roman" w:eastAsia="NSimSun" w:hAnsi="Times New Roman" w:cs="Arial"/>
      <w:kern w:val="2"/>
      <w:sz w:val="24"/>
      <w:szCs w:val="24"/>
      <w:lang w:eastAsia="zh-CN" w:bidi="hi-IN"/>
    </w:rPr>
  </w:style>
  <w:style w:type="paragraph" w:styleId="Naslov2">
    <w:name w:val="heading 2"/>
    <w:basedOn w:val="Navaden"/>
    <w:next w:val="Navaden"/>
    <w:link w:val="Naslov2Znak"/>
    <w:uiPriority w:val="9"/>
    <w:semiHidden/>
    <w:unhideWhenUsed/>
    <w:qFormat/>
    <w:rsid w:val="00D765FA"/>
    <w:pPr>
      <w:keepNext/>
      <w:keepLines/>
      <w:spacing w:before="200" w:line="276" w:lineRule="auto"/>
      <w:outlineLvl w:val="1"/>
    </w:pPr>
    <w:rPr>
      <w:rFonts w:asciiTheme="majorHAnsi" w:eastAsiaTheme="majorEastAsia" w:hAnsiTheme="majorHAnsi" w:cstheme="majorBidi"/>
      <w:b/>
      <w:bCs/>
      <w:color w:val="4F81BD" w:themeColor="accent1"/>
      <w:kern w:val="0"/>
      <w:sz w:val="26"/>
      <w:szCs w:val="26"/>
      <w:lang w:eastAsia="en-US" w:bidi="ar-S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251F8B"/>
    <w:rPr>
      <w:color w:val="0000FF" w:themeColor="hyperlink"/>
      <w:u w:val="single"/>
    </w:rPr>
  </w:style>
  <w:style w:type="paragraph" w:styleId="Odstavekseznama">
    <w:name w:val="List Paragraph"/>
    <w:basedOn w:val="Navaden"/>
    <w:uiPriority w:val="34"/>
    <w:qFormat/>
    <w:rsid w:val="00D765FA"/>
    <w:pPr>
      <w:ind w:left="720"/>
      <w:contextualSpacing/>
    </w:pPr>
    <w:rPr>
      <w:rFonts w:cs="Mangal"/>
      <w:szCs w:val="21"/>
    </w:rPr>
  </w:style>
  <w:style w:type="character" w:customStyle="1" w:styleId="Naslov2Znak">
    <w:name w:val="Naslov 2 Znak"/>
    <w:basedOn w:val="Privzetapisavaodstavka"/>
    <w:link w:val="Naslov2"/>
    <w:uiPriority w:val="9"/>
    <w:semiHidden/>
    <w:rsid w:val="00D765FA"/>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D765FA"/>
    <w:rPr>
      <w:rFonts w:ascii="Tahoma" w:hAnsi="Tahoma" w:cs="Mangal"/>
      <w:sz w:val="16"/>
      <w:szCs w:val="14"/>
    </w:rPr>
  </w:style>
  <w:style w:type="character" w:customStyle="1" w:styleId="BesedilooblakaZnak">
    <w:name w:val="Besedilo oblačka Znak"/>
    <w:basedOn w:val="Privzetapisavaodstavka"/>
    <w:link w:val="Besedilooblaka"/>
    <w:uiPriority w:val="99"/>
    <w:semiHidden/>
    <w:rsid w:val="00D765FA"/>
    <w:rPr>
      <w:rFonts w:ascii="Tahoma" w:eastAsia="NSimSun" w:hAnsi="Tahoma" w:cs="Mangal"/>
      <w:kern w:val="2"/>
      <w:sz w:val="16"/>
      <w:szCs w:val="14"/>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energy/topics/energy-efficiency/energy-efficient-buildings/energy-performance-buildings-directive_e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c.europa.eu/energy/sites/default/files/annex-proposal-recast-energy-performance-of-buildings-directive.pdf" TargetMode="External"/><Relationship Id="rId12" Type="http://schemas.openxmlformats.org/officeDocument/2006/relationships/hyperlink" Target="https://ec.europa.eu/growth/consultations/scenarios-transition-pathway-resilient-greener-and-more-digital-construction-ecosystem_s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energy/sites/default/files/proposal-recast-energy-performance-buildings-directive.pdf" TargetMode="External"/><Relationship Id="rId11" Type="http://schemas.openxmlformats.org/officeDocument/2006/relationships/hyperlink" Target="https://ec.europa.eu/energy/sites/default/files/swd-on-national-long-term-renovation-strategies.pdf" TargetMode="External"/><Relationship Id="rId5" Type="http://schemas.openxmlformats.org/officeDocument/2006/relationships/image" Target="media/image1.png"/><Relationship Id="rId10" Type="http://schemas.openxmlformats.org/officeDocument/2006/relationships/hyperlink" Target="https://ec.europa.eu/energy/topics/energy-efficiency/energy-efficient-buildings/renovation-wave_en" TargetMode="External"/><Relationship Id="rId4" Type="http://schemas.openxmlformats.org/officeDocument/2006/relationships/webSettings" Target="webSettings.xml"/><Relationship Id="rId9" Type="http://schemas.openxmlformats.org/officeDocument/2006/relationships/hyperlink" Target="https://eur-lex.europa.eu/legal-content/SL/TXT/HTML/?uri=CELEX:52020DC0662&amp;from=EN"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574</Words>
  <Characters>3277</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3844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cp:revision>
  <dcterms:created xsi:type="dcterms:W3CDTF">2021-12-16T12:38:00Z</dcterms:created>
  <dcterms:modified xsi:type="dcterms:W3CDTF">2021-12-16T13:54:00Z</dcterms:modified>
</cp:coreProperties>
</file>