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BFF" w:rsidRPr="00467345" w:rsidRDefault="00DD3BFF" w:rsidP="00DD3BFF">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5"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D3BFF" w:rsidRPr="00301C78" w:rsidRDefault="00DD3BFF" w:rsidP="00DD3BFF">
      <w:pPr>
        <w:pStyle w:val="Naslov2"/>
        <w:tabs>
          <w:tab w:val="left" w:pos="3120"/>
        </w:tabs>
        <w:spacing w:before="0"/>
        <w:jc w:val="center"/>
        <w:rPr>
          <w:sz w:val="22"/>
        </w:rPr>
      </w:pPr>
      <w:r w:rsidRPr="00083714">
        <w:rPr>
          <w:sz w:val="22"/>
        </w:rPr>
        <w:t>Slovensko gospodarsko in raziskovalno združenje, Bruselj</w:t>
      </w:r>
    </w:p>
    <w:p w:rsidR="00DD3BFF" w:rsidRPr="00083714" w:rsidRDefault="00DD3BFF" w:rsidP="00DD3BFF">
      <w:pPr>
        <w:pBdr>
          <w:bottom w:val="single" w:sz="6" w:space="1" w:color="auto"/>
        </w:pBdr>
        <w:tabs>
          <w:tab w:val="left" w:pos="3120"/>
        </w:tabs>
        <w:rPr>
          <w:sz w:val="16"/>
          <w:szCs w:val="16"/>
        </w:rPr>
      </w:pPr>
    </w:p>
    <w:p w:rsidR="00DD3BFF" w:rsidRDefault="00DD3BFF" w:rsidP="00DD3BFF">
      <w:pPr>
        <w:tabs>
          <w:tab w:val="left" w:pos="3120"/>
        </w:tabs>
        <w:spacing w:after="0"/>
        <w:rPr>
          <w:b/>
        </w:rPr>
      </w:pPr>
      <w:r w:rsidRPr="00083714">
        <w:rPr>
          <w:b/>
        </w:rPr>
        <w:tab/>
      </w:r>
    </w:p>
    <w:p w:rsidR="00DD3BFF" w:rsidRDefault="00DD3BFF" w:rsidP="00DD3BFF">
      <w:pPr>
        <w:tabs>
          <w:tab w:val="left" w:pos="3120"/>
        </w:tabs>
        <w:spacing w:after="0"/>
        <w:jc w:val="center"/>
        <w:rPr>
          <w:b/>
        </w:rPr>
      </w:pPr>
      <w:r>
        <w:rPr>
          <w:b/>
        </w:rPr>
        <w:t xml:space="preserve">Občasna informacija članom 194 </w:t>
      </w:r>
      <w:r w:rsidRPr="00083714">
        <w:rPr>
          <w:b/>
        </w:rPr>
        <w:t>– 20</w:t>
      </w:r>
      <w:r>
        <w:rPr>
          <w:b/>
        </w:rPr>
        <w:t>22</w:t>
      </w:r>
    </w:p>
    <w:p w:rsidR="00DD3BFF" w:rsidRDefault="00DD3BFF" w:rsidP="00DD3BFF">
      <w:pPr>
        <w:tabs>
          <w:tab w:val="left" w:pos="3120"/>
        </w:tabs>
        <w:spacing w:after="0"/>
        <w:jc w:val="center"/>
        <w:rPr>
          <w:b/>
        </w:rPr>
      </w:pPr>
      <w:r>
        <w:rPr>
          <w:b/>
        </w:rPr>
        <w:t xml:space="preserve">12. december </w:t>
      </w:r>
      <w:r w:rsidRPr="00083714">
        <w:rPr>
          <w:b/>
        </w:rPr>
        <w:t xml:space="preserve"> 20</w:t>
      </w:r>
      <w:r>
        <w:rPr>
          <w:b/>
        </w:rPr>
        <w:t>22</w:t>
      </w:r>
    </w:p>
    <w:p w:rsidR="00DD3BFF" w:rsidRPr="00995933" w:rsidRDefault="00DD3BFF" w:rsidP="00DD3BFF">
      <w:pPr>
        <w:tabs>
          <w:tab w:val="left" w:pos="3120"/>
        </w:tabs>
        <w:spacing w:after="0"/>
        <w:jc w:val="center"/>
        <w:rPr>
          <w:b/>
        </w:rPr>
      </w:pPr>
    </w:p>
    <w:p w:rsidR="00AF2EF6" w:rsidRDefault="00DD3BFF" w:rsidP="00DD3BFF">
      <w:pPr>
        <w:jc w:val="center"/>
        <w:rPr>
          <w:rFonts w:ascii="Arial" w:hAnsi="Arial" w:cs="Arial"/>
          <w:b/>
          <w:i/>
        </w:rPr>
      </w:pPr>
      <w:r>
        <w:rPr>
          <w:b/>
          <w:color w:val="993300"/>
          <w:sz w:val="32"/>
          <w:szCs w:val="32"/>
        </w:rPr>
        <w:t>Evropski inštitut za inovacije in tehnologijo (EIT) je najavil za 890 milijonov evrov naložb</w:t>
      </w:r>
    </w:p>
    <w:p w:rsidR="009D554F" w:rsidRPr="009D554F" w:rsidRDefault="009D554F" w:rsidP="009D554F">
      <w:pPr>
        <w:jc w:val="both"/>
        <w:rPr>
          <w:rFonts w:ascii="Arial" w:hAnsi="Arial" w:cs="Arial"/>
          <w:b/>
          <w:i/>
        </w:rPr>
      </w:pPr>
      <w:r w:rsidRPr="009D554F">
        <w:rPr>
          <w:rFonts w:ascii="Arial" w:hAnsi="Arial" w:cs="Arial"/>
          <w:b/>
          <w:i/>
        </w:rPr>
        <w:t>Evropski inštitut za inovacije in tehnologijo (EIT) je najavil 890 milijonov evrov naložb</w:t>
      </w:r>
      <w:r w:rsidRPr="009D554F">
        <w:rPr>
          <w:rFonts w:ascii="Arial" w:hAnsi="Arial"/>
          <w:b/>
          <w:i/>
        </w:rPr>
        <w:t xml:space="preserve"> v letih 2023, 2024 in 2025</w:t>
      </w:r>
      <w:r w:rsidRPr="009D554F">
        <w:rPr>
          <w:rFonts w:ascii="Arial" w:hAnsi="Arial" w:cs="Arial"/>
          <w:b/>
          <w:i/>
        </w:rPr>
        <w:t>. Sredstva so namenjena izvajanju treh glavnih stebrov dejavnosti EIT. Prvi steber predstavljajo podjetniški izobraževalni programi in tečaji po vsej Evropi, ki pomagajo študentom, da postanejo podjetniki. Drugi steber so storitve za ustanavljanje in pospeševanje podjetij, ki zagonska podjetja dvignejo na višjo raven.  Raziskovalni projekti, ki temeljijo na inovacijah in spreminjajo ideje v izdelke ter povezujejo partnerje, vlagatelje in strokovno znanje, so tretji steber. Člani lahko dobijo več informacij na SBRA.</w:t>
      </w:r>
    </w:p>
    <w:p w:rsidR="00192BBF" w:rsidRPr="00B16290" w:rsidRDefault="00192BBF" w:rsidP="00B16290">
      <w:pPr>
        <w:jc w:val="both"/>
        <w:rPr>
          <w:rFonts w:ascii="Arial" w:hAnsi="Arial" w:cs="Arial"/>
          <w:sz w:val="20"/>
          <w:szCs w:val="20"/>
        </w:rPr>
      </w:pPr>
      <w:r w:rsidRPr="00B16290">
        <w:rPr>
          <w:rFonts w:ascii="Arial" w:hAnsi="Arial" w:cs="Arial"/>
          <w:sz w:val="20"/>
          <w:szCs w:val="20"/>
        </w:rPr>
        <w:t xml:space="preserve">V proračunu je </w:t>
      </w:r>
      <w:r w:rsidR="00D20C8F">
        <w:rPr>
          <w:rFonts w:ascii="Arial" w:hAnsi="Arial" w:cs="Arial"/>
          <w:sz w:val="20"/>
          <w:szCs w:val="20"/>
        </w:rPr>
        <w:t xml:space="preserve">od </w:t>
      </w:r>
      <w:r w:rsidRPr="00B16290">
        <w:rPr>
          <w:rFonts w:ascii="Arial" w:hAnsi="Arial" w:cs="Arial"/>
          <w:sz w:val="20"/>
          <w:szCs w:val="20"/>
        </w:rPr>
        <w:t>10</w:t>
      </w:r>
      <w:r w:rsidR="00D20C8F">
        <w:rPr>
          <w:rFonts w:ascii="Arial" w:hAnsi="Arial" w:cs="Arial"/>
          <w:sz w:val="20"/>
          <w:szCs w:val="20"/>
        </w:rPr>
        <w:t xml:space="preserve"> do </w:t>
      </w:r>
      <w:r w:rsidRPr="00B16290">
        <w:rPr>
          <w:rFonts w:ascii="Arial" w:hAnsi="Arial" w:cs="Arial"/>
          <w:sz w:val="20"/>
          <w:szCs w:val="20"/>
        </w:rPr>
        <w:t xml:space="preserve">15 odstotkov sredstev namenjenih izvajanju regionalne inovacijske sheme EIT, ki odpravlja razlike v inovativnosti v Evropi. Za pobudo EIT za visokošolske ustanove, katere namen je spodbujanje inovacij v visokem šolstvu, bo na voljo 32,9 milijona evrov. Za skupne dejavnosti skupnosti znanja in inovacij, kot sta na primer pobuda EIT Deep </w:t>
      </w:r>
      <w:proofErr w:type="spellStart"/>
      <w:r w:rsidRPr="00B16290">
        <w:rPr>
          <w:rFonts w:ascii="Arial" w:hAnsi="Arial" w:cs="Arial"/>
          <w:sz w:val="20"/>
          <w:szCs w:val="20"/>
        </w:rPr>
        <w:t>Tech</w:t>
      </w:r>
      <w:proofErr w:type="spellEnd"/>
      <w:r w:rsidRPr="00B16290">
        <w:rPr>
          <w:rFonts w:ascii="Arial" w:hAnsi="Arial" w:cs="Arial"/>
          <w:sz w:val="20"/>
          <w:szCs w:val="20"/>
        </w:rPr>
        <w:t xml:space="preserve"> Talent, projekt EIT </w:t>
      </w:r>
      <w:proofErr w:type="spellStart"/>
      <w:r w:rsidRPr="00B16290">
        <w:rPr>
          <w:rFonts w:ascii="Arial" w:hAnsi="Arial" w:cs="Arial"/>
          <w:sz w:val="20"/>
          <w:szCs w:val="20"/>
        </w:rPr>
        <w:t>Girls</w:t>
      </w:r>
      <w:proofErr w:type="spellEnd"/>
      <w:r w:rsidRPr="00B16290">
        <w:rPr>
          <w:rFonts w:ascii="Arial" w:hAnsi="Arial" w:cs="Arial"/>
          <w:sz w:val="20"/>
          <w:szCs w:val="20"/>
        </w:rPr>
        <w:t xml:space="preserve"> Go </w:t>
      </w:r>
      <w:proofErr w:type="spellStart"/>
      <w:r w:rsidRPr="00B16290">
        <w:rPr>
          <w:rFonts w:ascii="Arial" w:hAnsi="Arial" w:cs="Arial"/>
          <w:sz w:val="20"/>
          <w:szCs w:val="20"/>
        </w:rPr>
        <w:t>Circular</w:t>
      </w:r>
      <w:proofErr w:type="spellEnd"/>
      <w:r w:rsidRPr="00B16290">
        <w:rPr>
          <w:rFonts w:ascii="Arial" w:hAnsi="Arial" w:cs="Arial"/>
          <w:sz w:val="20"/>
          <w:szCs w:val="20"/>
        </w:rPr>
        <w:t>, je predvidenih 67,4 milijona evrov.</w:t>
      </w:r>
    </w:p>
    <w:p w:rsidR="000B0E9C" w:rsidRPr="00B16290" w:rsidRDefault="00192BBF" w:rsidP="00B16290">
      <w:pPr>
        <w:jc w:val="both"/>
        <w:rPr>
          <w:rFonts w:ascii="Arial" w:hAnsi="Arial" w:cs="Arial"/>
          <w:b/>
          <w:sz w:val="20"/>
          <w:szCs w:val="20"/>
        </w:rPr>
      </w:pPr>
      <w:r w:rsidRPr="00B16290">
        <w:rPr>
          <w:rFonts w:ascii="Arial" w:hAnsi="Arial" w:cs="Arial"/>
          <w:b/>
          <w:sz w:val="20"/>
          <w:szCs w:val="20"/>
        </w:rPr>
        <w:t>Tabela 1: Sredstva v milijonih evrov, ki so v letih 2023, 2024 in 2025 predvidena za skupnosti znanja in inovacij (KIC):</w:t>
      </w:r>
    </w:p>
    <w:tbl>
      <w:tblPr>
        <w:tblStyle w:val="Tabela-mrea"/>
        <w:tblW w:w="0" w:type="auto"/>
        <w:tblLook w:val="04A0"/>
      </w:tblPr>
      <w:tblGrid>
        <w:gridCol w:w="3070"/>
        <w:gridCol w:w="3071"/>
        <w:gridCol w:w="3071"/>
      </w:tblGrid>
      <w:tr w:rsidR="00192BBF" w:rsidRPr="00B16290" w:rsidTr="00192BBF">
        <w:tc>
          <w:tcPr>
            <w:tcW w:w="3070" w:type="dxa"/>
          </w:tcPr>
          <w:p w:rsidR="00192BBF" w:rsidRPr="00B16290" w:rsidRDefault="00192BBF" w:rsidP="00B16290">
            <w:pPr>
              <w:jc w:val="both"/>
              <w:rPr>
                <w:rFonts w:ascii="Arial" w:hAnsi="Arial" w:cs="Arial"/>
                <w:b/>
                <w:sz w:val="20"/>
                <w:szCs w:val="20"/>
              </w:rPr>
            </w:pPr>
            <w:r w:rsidRPr="00B16290">
              <w:rPr>
                <w:rFonts w:ascii="Arial" w:hAnsi="Arial" w:cs="Arial"/>
                <w:b/>
                <w:sz w:val="20"/>
                <w:szCs w:val="20"/>
              </w:rPr>
              <w:t>KIC</w:t>
            </w:r>
          </w:p>
        </w:tc>
        <w:tc>
          <w:tcPr>
            <w:tcW w:w="3071" w:type="dxa"/>
          </w:tcPr>
          <w:p w:rsidR="00192BBF" w:rsidRPr="00B16290" w:rsidRDefault="00192BBF" w:rsidP="00B16290">
            <w:pPr>
              <w:jc w:val="both"/>
              <w:rPr>
                <w:rFonts w:ascii="Arial" w:hAnsi="Arial" w:cs="Arial"/>
                <w:b/>
                <w:sz w:val="20"/>
                <w:szCs w:val="20"/>
              </w:rPr>
            </w:pPr>
            <w:r w:rsidRPr="00B16290">
              <w:rPr>
                <w:rFonts w:ascii="Arial" w:hAnsi="Arial" w:cs="Arial"/>
                <w:b/>
                <w:sz w:val="20"/>
                <w:szCs w:val="20"/>
              </w:rPr>
              <w:t>Obdobje v letih</w:t>
            </w:r>
          </w:p>
        </w:tc>
        <w:tc>
          <w:tcPr>
            <w:tcW w:w="3071" w:type="dxa"/>
          </w:tcPr>
          <w:p w:rsidR="00192BBF" w:rsidRPr="00B16290" w:rsidRDefault="00192BBF" w:rsidP="00B16290">
            <w:pPr>
              <w:jc w:val="both"/>
              <w:rPr>
                <w:rFonts w:ascii="Arial" w:hAnsi="Arial" w:cs="Arial"/>
                <w:b/>
                <w:sz w:val="20"/>
                <w:szCs w:val="20"/>
              </w:rPr>
            </w:pPr>
            <w:r w:rsidRPr="00B16290">
              <w:rPr>
                <w:rFonts w:ascii="Arial" w:hAnsi="Arial" w:cs="Arial"/>
                <w:b/>
                <w:sz w:val="20"/>
                <w:szCs w:val="20"/>
              </w:rPr>
              <w:t>Znesek v milijonih evrov</w:t>
            </w:r>
          </w:p>
        </w:tc>
      </w:tr>
      <w:tr w:rsidR="00192BBF" w:rsidRPr="00B16290" w:rsidTr="00192BBF">
        <w:tc>
          <w:tcPr>
            <w:tcW w:w="3070" w:type="dxa"/>
          </w:tcPr>
          <w:p w:rsidR="00192BBF" w:rsidRPr="00B16290" w:rsidRDefault="00192BBF" w:rsidP="00B16290">
            <w:pPr>
              <w:jc w:val="both"/>
              <w:rPr>
                <w:rFonts w:ascii="Arial" w:hAnsi="Arial" w:cs="Arial"/>
                <w:b/>
                <w:sz w:val="20"/>
                <w:szCs w:val="20"/>
              </w:rPr>
            </w:pPr>
            <w:r w:rsidRPr="00B16290">
              <w:rPr>
                <w:rFonts w:ascii="Arial" w:hAnsi="Arial" w:cs="Arial"/>
                <w:b/>
                <w:sz w:val="20"/>
                <w:szCs w:val="20"/>
              </w:rPr>
              <w:t>Podnebje</w:t>
            </w:r>
          </w:p>
        </w:tc>
        <w:tc>
          <w:tcPr>
            <w:tcW w:w="3071" w:type="dxa"/>
          </w:tcPr>
          <w:p w:rsidR="00192BBF" w:rsidRPr="00B16290" w:rsidRDefault="00192BBF" w:rsidP="00B16290">
            <w:pPr>
              <w:jc w:val="both"/>
              <w:rPr>
                <w:rFonts w:ascii="Arial" w:hAnsi="Arial" w:cs="Arial"/>
                <w:sz w:val="20"/>
                <w:szCs w:val="20"/>
              </w:rPr>
            </w:pPr>
            <w:r w:rsidRPr="00B16290">
              <w:rPr>
                <w:rFonts w:ascii="Arial" w:hAnsi="Arial" w:cs="Arial"/>
                <w:sz w:val="20"/>
                <w:szCs w:val="20"/>
              </w:rPr>
              <w:t>2023 in 2024</w:t>
            </w:r>
          </w:p>
        </w:tc>
        <w:tc>
          <w:tcPr>
            <w:tcW w:w="3071" w:type="dxa"/>
          </w:tcPr>
          <w:p w:rsidR="00192BBF" w:rsidRPr="00B16290" w:rsidRDefault="00192BBF" w:rsidP="00B16290">
            <w:pPr>
              <w:jc w:val="both"/>
              <w:rPr>
                <w:rFonts w:ascii="Arial" w:hAnsi="Arial" w:cs="Arial"/>
                <w:sz w:val="20"/>
                <w:szCs w:val="20"/>
              </w:rPr>
            </w:pPr>
            <w:r w:rsidRPr="00B16290">
              <w:rPr>
                <w:rFonts w:ascii="Arial" w:hAnsi="Arial" w:cs="Arial"/>
                <w:sz w:val="20"/>
                <w:szCs w:val="20"/>
              </w:rPr>
              <w:t>20,2</w:t>
            </w:r>
          </w:p>
        </w:tc>
      </w:tr>
      <w:tr w:rsidR="00192BBF" w:rsidRPr="00B16290" w:rsidTr="00192BBF">
        <w:tc>
          <w:tcPr>
            <w:tcW w:w="3070" w:type="dxa"/>
          </w:tcPr>
          <w:p w:rsidR="00192BBF" w:rsidRPr="00B16290" w:rsidRDefault="00192BBF" w:rsidP="00B16290">
            <w:pPr>
              <w:jc w:val="both"/>
              <w:rPr>
                <w:rFonts w:ascii="Arial" w:hAnsi="Arial" w:cs="Arial"/>
                <w:b/>
                <w:sz w:val="20"/>
                <w:szCs w:val="20"/>
              </w:rPr>
            </w:pPr>
            <w:proofErr w:type="spellStart"/>
            <w:r w:rsidRPr="00B16290">
              <w:rPr>
                <w:rFonts w:ascii="Arial" w:hAnsi="Arial" w:cs="Arial"/>
                <w:b/>
                <w:sz w:val="20"/>
                <w:szCs w:val="20"/>
              </w:rPr>
              <w:t>Digital</w:t>
            </w:r>
            <w:proofErr w:type="spellEnd"/>
          </w:p>
        </w:tc>
        <w:tc>
          <w:tcPr>
            <w:tcW w:w="3071" w:type="dxa"/>
          </w:tcPr>
          <w:p w:rsidR="00192BBF" w:rsidRPr="00B16290" w:rsidRDefault="00192BBF" w:rsidP="00B16290">
            <w:pPr>
              <w:jc w:val="both"/>
              <w:rPr>
                <w:rFonts w:ascii="Arial" w:hAnsi="Arial" w:cs="Arial"/>
                <w:sz w:val="20"/>
                <w:szCs w:val="20"/>
              </w:rPr>
            </w:pPr>
            <w:r w:rsidRPr="00B16290">
              <w:rPr>
                <w:rFonts w:ascii="Arial" w:hAnsi="Arial" w:cs="Arial"/>
                <w:sz w:val="20"/>
                <w:szCs w:val="20"/>
              </w:rPr>
              <w:t>2023 in 2024</w:t>
            </w:r>
          </w:p>
        </w:tc>
        <w:tc>
          <w:tcPr>
            <w:tcW w:w="3071" w:type="dxa"/>
          </w:tcPr>
          <w:p w:rsidR="00192BBF" w:rsidRPr="00B16290" w:rsidRDefault="00192BBF" w:rsidP="00B16290">
            <w:pPr>
              <w:jc w:val="both"/>
              <w:rPr>
                <w:rFonts w:ascii="Arial" w:hAnsi="Arial" w:cs="Arial"/>
                <w:sz w:val="20"/>
                <w:szCs w:val="20"/>
              </w:rPr>
            </w:pPr>
            <w:r w:rsidRPr="00B16290">
              <w:rPr>
                <w:rFonts w:ascii="Arial" w:hAnsi="Arial" w:cs="Arial"/>
                <w:sz w:val="20"/>
                <w:szCs w:val="20"/>
              </w:rPr>
              <w:t>30,6</w:t>
            </w:r>
          </w:p>
        </w:tc>
      </w:tr>
      <w:tr w:rsidR="00192BBF" w:rsidRPr="00B16290" w:rsidTr="00192BBF">
        <w:tc>
          <w:tcPr>
            <w:tcW w:w="3070" w:type="dxa"/>
          </w:tcPr>
          <w:p w:rsidR="00192BBF" w:rsidRPr="00B16290" w:rsidRDefault="00192BBF" w:rsidP="00B16290">
            <w:pPr>
              <w:jc w:val="both"/>
              <w:rPr>
                <w:rFonts w:ascii="Arial" w:hAnsi="Arial" w:cs="Arial"/>
                <w:b/>
                <w:sz w:val="20"/>
                <w:szCs w:val="20"/>
              </w:rPr>
            </w:pPr>
            <w:proofErr w:type="spellStart"/>
            <w:r w:rsidRPr="00B16290">
              <w:rPr>
                <w:rFonts w:ascii="Arial" w:hAnsi="Arial" w:cs="Arial"/>
                <w:b/>
                <w:sz w:val="20"/>
                <w:szCs w:val="20"/>
              </w:rPr>
              <w:t>InnoEnergija</w:t>
            </w:r>
            <w:proofErr w:type="spellEnd"/>
          </w:p>
        </w:tc>
        <w:tc>
          <w:tcPr>
            <w:tcW w:w="3071" w:type="dxa"/>
          </w:tcPr>
          <w:p w:rsidR="00192BBF" w:rsidRPr="00B16290" w:rsidRDefault="00192BBF" w:rsidP="00B16290">
            <w:pPr>
              <w:jc w:val="both"/>
              <w:rPr>
                <w:rFonts w:ascii="Arial" w:hAnsi="Arial" w:cs="Arial"/>
                <w:sz w:val="20"/>
                <w:szCs w:val="20"/>
              </w:rPr>
            </w:pPr>
            <w:r w:rsidRPr="00B16290">
              <w:rPr>
                <w:rFonts w:ascii="Arial" w:hAnsi="Arial" w:cs="Arial"/>
                <w:sz w:val="20"/>
                <w:szCs w:val="20"/>
              </w:rPr>
              <w:t>2023 in 2024</w:t>
            </w:r>
          </w:p>
        </w:tc>
        <w:tc>
          <w:tcPr>
            <w:tcW w:w="3071" w:type="dxa"/>
          </w:tcPr>
          <w:p w:rsidR="00192BBF" w:rsidRPr="00B16290" w:rsidRDefault="00192BBF" w:rsidP="00B16290">
            <w:pPr>
              <w:jc w:val="both"/>
              <w:rPr>
                <w:rFonts w:ascii="Arial" w:hAnsi="Arial" w:cs="Arial"/>
                <w:sz w:val="20"/>
                <w:szCs w:val="20"/>
              </w:rPr>
            </w:pPr>
            <w:r w:rsidRPr="00B16290">
              <w:rPr>
                <w:rFonts w:ascii="Arial" w:hAnsi="Arial" w:cs="Arial"/>
                <w:sz w:val="20"/>
                <w:szCs w:val="20"/>
              </w:rPr>
              <w:t>44,0</w:t>
            </w:r>
          </w:p>
        </w:tc>
      </w:tr>
      <w:tr w:rsidR="00192BBF" w:rsidRPr="00B16290" w:rsidTr="00192BBF">
        <w:tc>
          <w:tcPr>
            <w:tcW w:w="3070" w:type="dxa"/>
          </w:tcPr>
          <w:p w:rsidR="00192BBF" w:rsidRPr="00B16290" w:rsidRDefault="00192BBF" w:rsidP="00B16290">
            <w:pPr>
              <w:jc w:val="both"/>
              <w:rPr>
                <w:rFonts w:ascii="Arial" w:hAnsi="Arial" w:cs="Arial"/>
                <w:b/>
                <w:sz w:val="20"/>
                <w:szCs w:val="20"/>
              </w:rPr>
            </w:pPr>
            <w:r w:rsidRPr="00B16290">
              <w:rPr>
                <w:rFonts w:ascii="Arial" w:hAnsi="Arial" w:cs="Arial"/>
                <w:b/>
                <w:sz w:val="20"/>
                <w:szCs w:val="20"/>
              </w:rPr>
              <w:t>Zdravje</w:t>
            </w:r>
          </w:p>
        </w:tc>
        <w:tc>
          <w:tcPr>
            <w:tcW w:w="3071" w:type="dxa"/>
          </w:tcPr>
          <w:p w:rsidR="00192BBF" w:rsidRPr="00B16290" w:rsidRDefault="00192BBF" w:rsidP="00B16290">
            <w:pPr>
              <w:jc w:val="both"/>
              <w:rPr>
                <w:rFonts w:ascii="Arial" w:hAnsi="Arial" w:cs="Arial"/>
                <w:sz w:val="20"/>
                <w:szCs w:val="20"/>
              </w:rPr>
            </w:pPr>
            <w:r w:rsidRPr="00B16290">
              <w:rPr>
                <w:rFonts w:ascii="Arial" w:hAnsi="Arial" w:cs="Arial"/>
                <w:sz w:val="20"/>
                <w:szCs w:val="20"/>
              </w:rPr>
              <w:t>2023,2024 in 2025</w:t>
            </w:r>
          </w:p>
        </w:tc>
        <w:tc>
          <w:tcPr>
            <w:tcW w:w="3071" w:type="dxa"/>
          </w:tcPr>
          <w:p w:rsidR="00192BBF" w:rsidRPr="00B16290" w:rsidRDefault="00192BBF" w:rsidP="00B16290">
            <w:pPr>
              <w:jc w:val="both"/>
              <w:rPr>
                <w:rFonts w:ascii="Arial" w:hAnsi="Arial" w:cs="Arial"/>
                <w:sz w:val="20"/>
                <w:szCs w:val="20"/>
              </w:rPr>
            </w:pPr>
            <w:r w:rsidRPr="00B16290">
              <w:rPr>
                <w:rFonts w:ascii="Arial" w:hAnsi="Arial" w:cs="Arial"/>
                <w:sz w:val="20"/>
                <w:szCs w:val="20"/>
              </w:rPr>
              <w:t>142,9</w:t>
            </w:r>
          </w:p>
        </w:tc>
      </w:tr>
      <w:tr w:rsidR="00192BBF" w:rsidRPr="00B16290" w:rsidTr="00192BBF">
        <w:tc>
          <w:tcPr>
            <w:tcW w:w="3070" w:type="dxa"/>
          </w:tcPr>
          <w:p w:rsidR="00192BBF" w:rsidRPr="00B16290" w:rsidRDefault="00192BBF" w:rsidP="00B16290">
            <w:pPr>
              <w:jc w:val="both"/>
              <w:rPr>
                <w:rFonts w:ascii="Arial" w:hAnsi="Arial" w:cs="Arial"/>
                <w:b/>
                <w:sz w:val="20"/>
                <w:szCs w:val="20"/>
              </w:rPr>
            </w:pPr>
            <w:r w:rsidRPr="00B16290">
              <w:rPr>
                <w:rFonts w:ascii="Arial" w:hAnsi="Arial" w:cs="Arial"/>
                <w:b/>
                <w:sz w:val="20"/>
                <w:szCs w:val="20"/>
              </w:rPr>
              <w:t>Surovine</w:t>
            </w:r>
          </w:p>
        </w:tc>
        <w:tc>
          <w:tcPr>
            <w:tcW w:w="3071" w:type="dxa"/>
          </w:tcPr>
          <w:p w:rsidR="00192BBF" w:rsidRPr="00B16290" w:rsidRDefault="00192BBF" w:rsidP="00B16290">
            <w:pPr>
              <w:jc w:val="both"/>
              <w:rPr>
                <w:rFonts w:ascii="Arial" w:hAnsi="Arial" w:cs="Arial"/>
                <w:sz w:val="20"/>
                <w:szCs w:val="20"/>
              </w:rPr>
            </w:pPr>
            <w:r w:rsidRPr="00B16290">
              <w:rPr>
                <w:rFonts w:ascii="Arial" w:hAnsi="Arial" w:cs="Arial"/>
                <w:sz w:val="20"/>
                <w:szCs w:val="20"/>
              </w:rPr>
              <w:t>2023, 2024 in 2025</w:t>
            </w:r>
          </w:p>
        </w:tc>
        <w:tc>
          <w:tcPr>
            <w:tcW w:w="3071" w:type="dxa"/>
          </w:tcPr>
          <w:p w:rsidR="00192BBF" w:rsidRPr="00B16290" w:rsidRDefault="00192BBF" w:rsidP="00B16290">
            <w:pPr>
              <w:jc w:val="both"/>
              <w:rPr>
                <w:rFonts w:ascii="Arial" w:hAnsi="Arial" w:cs="Arial"/>
                <w:sz w:val="20"/>
                <w:szCs w:val="20"/>
              </w:rPr>
            </w:pPr>
            <w:r w:rsidRPr="00B16290">
              <w:rPr>
                <w:rFonts w:ascii="Arial" w:hAnsi="Arial" w:cs="Arial"/>
                <w:sz w:val="20"/>
                <w:szCs w:val="20"/>
              </w:rPr>
              <w:t>136,1</w:t>
            </w:r>
          </w:p>
        </w:tc>
      </w:tr>
      <w:tr w:rsidR="00192BBF" w:rsidRPr="00B16290" w:rsidTr="00192BBF">
        <w:tc>
          <w:tcPr>
            <w:tcW w:w="3070" w:type="dxa"/>
          </w:tcPr>
          <w:p w:rsidR="00192BBF" w:rsidRPr="00B16290" w:rsidRDefault="00192BBF" w:rsidP="00B16290">
            <w:pPr>
              <w:jc w:val="both"/>
              <w:rPr>
                <w:rFonts w:ascii="Arial" w:hAnsi="Arial" w:cs="Arial"/>
                <w:b/>
                <w:sz w:val="20"/>
                <w:szCs w:val="20"/>
              </w:rPr>
            </w:pPr>
            <w:r w:rsidRPr="00B16290">
              <w:rPr>
                <w:rFonts w:ascii="Arial" w:hAnsi="Arial" w:cs="Arial"/>
                <w:b/>
                <w:sz w:val="20"/>
                <w:szCs w:val="20"/>
              </w:rPr>
              <w:t>Hrana</w:t>
            </w:r>
          </w:p>
        </w:tc>
        <w:tc>
          <w:tcPr>
            <w:tcW w:w="3071" w:type="dxa"/>
          </w:tcPr>
          <w:p w:rsidR="00192BBF" w:rsidRPr="00B16290" w:rsidRDefault="00192BBF" w:rsidP="00B16290">
            <w:pPr>
              <w:jc w:val="both"/>
              <w:rPr>
                <w:rFonts w:ascii="Arial" w:hAnsi="Arial" w:cs="Arial"/>
                <w:sz w:val="20"/>
                <w:szCs w:val="20"/>
              </w:rPr>
            </w:pPr>
            <w:r w:rsidRPr="00B16290">
              <w:rPr>
                <w:rFonts w:ascii="Arial" w:hAnsi="Arial" w:cs="Arial"/>
                <w:sz w:val="20"/>
                <w:szCs w:val="20"/>
              </w:rPr>
              <w:t>2023, 2024 in 2025</w:t>
            </w:r>
          </w:p>
        </w:tc>
        <w:tc>
          <w:tcPr>
            <w:tcW w:w="3071" w:type="dxa"/>
          </w:tcPr>
          <w:p w:rsidR="00192BBF" w:rsidRPr="00B16290" w:rsidRDefault="00192BBF" w:rsidP="00B16290">
            <w:pPr>
              <w:jc w:val="both"/>
              <w:rPr>
                <w:rFonts w:ascii="Arial" w:hAnsi="Arial" w:cs="Arial"/>
                <w:sz w:val="20"/>
                <w:szCs w:val="20"/>
              </w:rPr>
            </w:pPr>
            <w:r w:rsidRPr="00B16290">
              <w:rPr>
                <w:rFonts w:ascii="Arial" w:hAnsi="Arial" w:cs="Arial"/>
                <w:sz w:val="20"/>
                <w:szCs w:val="20"/>
              </w:rPr>
              <w:t>179,2</w:t>
            </w:r>
          </w:p>
        </w:tc>
      </w:tr>
      <w:tr w:rsidR="00192BBF" w:rsidRPr="00B16290" w:rsidTr="00192BBF">
        <w:tc>
          <w:tcPr>
            <w:tcW w:w="3070" w:type="dxa"/>
          </w:tcPr>
          <w:p w:rsidR="00192BBF" w:rsidRPr="00B16290" w:rsidRDefault="00192BBF" w:rsidP="00B16290">
            <w:pPr>
              <w:jc w:val="both"/>
              <w:rPr>
                <w:rFonts w:ascii="Arial" w:hAnsi="Arial" w:cs="Arial"/>
                <w:b/>
                <w:sz w:val="20"/>
                <w:szCs w:val="20"/>
              </w:rPr>
            </w:pPr>
            <w:r w:rsidRPr="00B16290">
              <w:rPr>
                <w:rFonts w:ascii="Arial" w:hAnsi="Arial" w:cs="Arial"/>
                <w:b/>
                <w:sz w:val="20"/>
                <w:szCs w:val="20"/>
              </w:rPr>
              <w:t>Proizvodnja</w:t>
            </w:r>
          </w:p>
        </w:tc>
        <w:tc>
          <w:tcPr>
            <w:tcW w:w="3071" w:type="dxa"/>
          </w:tcPr>
          <w:p w:rsidR="00192BBF" w:rsidRPr="00B16290" w:rsidRDefault="00192BBF" w:rsidP="00B16290">
            <w:pPr>
              <w:jc w:val="both"/>
              <w:rPr>
                <w:rFonts w:ascii="Arial" w:hAnsi="Arial" w:cs="Arial"/>
                <w:sz w:val="20"/>
                <w:szCs w:val="20"/>
              </w:rPr>
            </w:pPr>
            <w:r w:rsidRPr="00B16290">
              <w:rPr>
                <w:rFonts w:ascii="Arial" w:hAnsi="Arial" w:cs="Arial"/>
                <w:sz w:val="20"/>
                <w:szCs w:val="20"/>
              </w:rPr>
              <w:t>2023, 2024 in 2025</w:t>
            </w:r>
          </w:p>
        </w:tc>
        <w:tc>
          <w:tcPr>
            <w:tcW w:w="3071" w:type="dxa"/>
          </w:tcPr>
          <w:p w:rsidR="00192BBF" w:rsidRPr="00B16290" w:rsidRDefault="00192BBF" w:rsidP="00B16290">
            <w:pPr>
              <w:jc w:val="both"/>
              <w:rPr>
                <w:rFonts w:ascii="Arial" w:hAnsi="Arial" w:cs="Arial"/>
                <w:sz w:val="20"/>
                <w:szCs w:val="20"/>
              </w:rPr>
            </w:pPr>
            <w:r w:rsidRPr="00B16290">
              <w:rPr>
                <w:rFonts w:ascii="Arial" w:hAnsi="Arial" w:cs="Arial"/>
                <w:sz w:val="20"/>
                <w:szCs w:val="20"/>
              </w:rPr>
              <w:t>107,3</w:t>
            </w:r>
          </w:p>
        </w:tc>
      </w:tr>
      <w:tr w:rsidR="00192BBF" w:rsidRPr="00B16290" w:rsidTr="00192BBF">
        <w:tc>
          <w:tcPr>
            <w:tcW w:w="3070" w:type="dxa"/>
          </w:tcPr>
          <w:p w:rsidR="00192BBF" w:rsidRPr="00B16290" w:rsidRDefault="00192BBF" w:rsidP="00B16290">
            <w:pPr>
              <w:jc w:val="both"/>
              <w:rPr>
                <w:rFonts w:ascii="Arial" w:hAnsi="Arial" w:cs="Arial"/>
                <w:b/>
                <w:sz w:val="20"/>
                <w:szCs w:val="20"/>
              </w:rPr>
            </w:pPr>
            <w:r w:rsidRPr="00B16290">
              <w:rPr>
                <w:rFonts w:ascii="Arial" w:hAnsi="Arial" w:cs="Arial"/>
                <w:b/>
                <w:sz w:val="20"/>
                <w:szCs w:val="20"/>
              </w:rPr>
              <w:t>Urbana mobilnost</w:t>
            </w:r>
          </w:p>
        </w:tc>
        <w:tc>
          <w:tcPr>
            <w:tcW w:w="3071" w:type="dxa"/>
          </w:tcPr>
          <w:p w:rsidR="00192BBF" w:rsidRPr="00B16290" w:rsidRDefault="00192BBF" w:rsidP="00B16290">
            <w:pPr>
              <w:jc w:val="both"/>
              <w:rPr>
                <w:rFonts w:ascii="Arial" w:hAnsi="Arial" w:cs="Arial"/>
                <w:sz w:val="20"/>
                <w:szCs w:val="20"/>
              </w:rPr>
            </w:pPr>
            <w:r w:rsidRPr="00B16290">
              <w:rPr>
                <w:rFonts w:ascii="Arial" w:hAnsi="Arial" w:cs="Arial"/>
                <w:sz w:val="20"/>
                <w:szCs w:val="20"/>
              </w:rPr>
              <w:t>2023, 2024 in 2025</w:t>
            </w:r>
          </w:p>
        </w:tc>
        <w:tc>
          <w:tcPr>
            <w:tcW w:w="3071" w:type="dxa"/>
          </w:tcPr>
          <w:p w:rsidR="00192BBF" w:rsidRPr="00B16290" w:rsidRDefault="00192BBF" w:rsidP="00B16290">
            <w:pPr>
              <w:jc w:val="both"/>
              <w:rPr>
                <w:rFonts w:ascii="Arial" w:hAnsi="Arial" w:cs="Arial"/>
                <w:sz w:val="20"/>
                <w:szCs w:val="20"/>
              </w:rPr>
            </w:pPr>
            <w:r w:rsidRPr="00B16290">
              <w:rPr>
                <w:rFonts w:ascii="Arial" w:hAnsi="Arial" w:cs="Arial"/>
                <w:sz w:val="20"/>
                <w:szCs w:val="20"/>
              </w:rPr>
              <w:t>129,7</w:t>
            </w:r>
          </w:p>
        </w:tc>
      </w:tr>
    </w:tbl>
    <w:p w:rsidR="00192BBF" w:rsidRPr="00B16290" w:rsidRDefault="00192BBF" w:rsidP="00B16290">
      <w:pPr>
        <w:jc w:val="both"/>
        <w:rPr>
          <w:rFonts w:ascii="Arial" w:hAnsi="Arial" w:cs="Arial"/>
          <w:sz w:val="20"/>
          <w:szCs w:val="20"/>
        </w:rPr>
      </w:pPr>
      <w:r w:rsidRPr="00B16290">
        <w:rPr>
          <w:rFonts w:ascii="Arial" w:hAnsi="Arial" w:cs="Arial"/>
          <w:sz w:val="20"/>
          <w:szCs w:val="20"/>
        </w:rPr>
        <w:t>Vir: EIT</w:t>
      </w:r>
    </w:p>
    <w:p w:rsidR="00DD3BFF" w:rsidRDefault="00DD3BFF" w:rsidP="00B16290">
      <w:pPr>
        <w:jc w:val="both"/>
        <w:rPr>
          <w:rFonts w:ascii="Arial" w:hAnsi="Arial" w:cs="Arial"/>
          <w:b/>
          <w:sz w:val="20"/>
          <w:szCs w:val="20"/>
        </w:rPr>
      </w:pPr>
    </w:p>
    <w:p w:rsidR="00DD3BFF" w:rsidRDefault="00DD3BFF" w:rsidP="00B16290">
      <w:pPr>
        <w:jc w:val="both"/>
        <w:rPr>
          <w:rFonts w:ascii="Arial" w:hAnsi="Arial" w:cs="Arial"/>
          <w:b/>
          <w:sz w:val="20"/>
          <w:szCs w:val="20"/>
        </w:rPr>
      </w:pPr>
    </w:p>
    <w:p w:rsidR="00192BBF" w:rsidRPr="00B16290" w:rsidRDefault="00192BBF" w:rsidP="00B16290">
      <w:pPr>
        <w:jc w:val="both"/>
        <w:rPr>
          <w:rFonts w:ascii="Arial" w:hAnsi="Arial" w:cs="Arial"/>
          <w:b/>
          <w:sz w:val="20"/>
          <w:szCs w:val="20"/>
        </w:rPr>
      </w:pPr>
      <w:r w:rsidRPr="00B16290">
        <w:rPr>
          <w:rFonts w:ascii="Arial" w:hAnsi="Arial" w:cs="Arial"/>
          <w:b/>
          <w:sz w:val="20"/>
          <w:szCs w:val="20"/>
        </w:rPr>
        <w:lastRenderedPageBreak/>
        <w:t>Koristne informacije:</w:t>
      </w:r>
    </w:p>
    <w:p w:rsidR="00192BBF" w:rsidRPr="00B16290" w:rsidRDefault="00B02EF9" w:rsidP="00B16290">
      <w:pPr>
        <w:pStyle w:val="Odstavekseznama"/>
        <w:numPr>
          <w:ilvl w:val="0"/>
          <w:numId w:val="1"/>
        </w:numPr>
        <w:jc w:val="both"/>
        <w:rPr>
          <w:rFonts w:ascii="Arial" w:hAnsi="Arial" w:cs="Arial"/>
          <w:sz w:val="20"/>
          <w:szCs w:val="20"/>
        </w:rPr>
      </w:pPr>
      <w:r w:rsidRPr="00B16290">
        <w:rPr>
          <w:rFonts w:ascii="Arial" w:hAnsi="Arial" w:cs="Arial"/>
          <w:sz w:val="20"/>
          <w:szCs w:val="20"/>
        </w:rPr>
        <w:t>Napoved EIT:</w:t>
      </w:r>
    </w:p>
    <w:p w:rsidR="00B02EF9" w:rsidRPr="00B16290" w:rsidRDefault="00B02EF9" w:rsidP="00B16290">
      <w:pPr>
        <w:pStyle w:val="Odstavekseznama"/>
        <w:numPr>
          <w:ilvl w:val="0"/>
          <w:numId w:val="1"/>
        </w:numPr>
        <w:jc w:val="both"/>
        <w:rPr>
          <w:rFonts w:ascii="Arial" w:hAnsi="Arial" w:cs="Arial"/>
          <w:sz w:val="20"/>
          <w:szCs w:val="20"/>
        </w:rPr>
      </w:pPr>
      <w:hyperlink r:id="rId6" w:history="1">
        <w:r w:rsidRPr="00B16290">
          <w:rPr>
            <w:rStyle w:val="Hiperpovezava"/>
            <w:rFonts w:ascii="Arial" w:hAnsi="Arial" w:cs="Arial"/>
            <w:sz w:val="20"/>
            <w:szCs w:val="20"/>
          </w:rPr>
          <w:t>https://eit.europa.eu/news-events/news/eit-announces-eur-890-million-investment-european-innovation</w:t>
        </w:r>
      </w:hyperlink>
    </w:p>
    <w:p w:rsidR="00B02EF9" w:rsidRPr="00B16290" w:rsidRDefault="00B02EF9" w:rsidP="00B16290">
      <w:pPr>
        <w:pStyle w:val="Odstavekseznama"/>
        <w:numPr>
          <w:ilvl w:val="0"/>
          <w:numId w:val="1"/>
        </w:numPr>
        <w:jc w:val="both"/>
        <w:rPr>
          <w:rFonts w:ascii="Arial" w:hAnsi="Arial" w:cs="Arial"/>
          <w:sz w:val="20"/>
          <w:szCs w:val="20"/>
        </w:rPr>
      </w:pPr>
      <w:r w:rsidRPr="00B16290">
        <w:rPr>
          <w:rFonts w:ascii="Arial" w:hAnsi="Arial" w:cs="Arial"/>
          <w:sz w:val="20"/>
          <w:szCs w:val="20"/>
        </w:rPr>
        <w:t>Spletna stran EIT:</w:t>
      </w:r>
    </w:p>
    <w:p w:rsidR="00B02EF9" w:rsidRPr="00B16290" w:rsidRDefault="00B02EF9" w:rsidP="00B16290">
      <w:pPr>
        <w:pStyle w:val="Odstavekseznama"/>
        <w:numPr>
          <w:ilvl w:val="0"/>
          <w:numId w:val="1"/>
        </w:numPr>
        <w:jc w:val="both"/>
        <w:rPr>
          <w:rFonts w:ascii="Arial" w:hAnsi="Arial" w:cs="Arial"/>
          <w:sz w:val="20"/>
          <w:szCs w:val="20"/>
        </w:rPr>
      </w:pPr>
      <w:hyperlink r:id="rId7" w:history="1">
        <w:r w:rsidRPr="00B16290">
          <w:rPr>
            <w:rStyle w:val="Hiperpovezava"/>
            <w:rFonts w:ascii="Arial" w:hAnsi="Arial" w:cs="Arial"/>
            <w:sz w:val="20"/>
            <w:szCs w:val="20"/>
          </w:rPr>
          <w:t>https://eit.europa.eu/sl/in-your-language</w:t>
        </w:r>
      </w:hyperlink>
    </w:p>
    <w:p w:rsidR="00B02EF9" w:rsidRPr="00B16290" w:rsidRDefault="00B02EF9" w:rsidP="00B16290">
      <w:pPr>
        <w:spacing w:after="0"/>
        <w:jc w:val="both"/>
        <w:rPr>
          <w:rFonts w:ascii="Arial" w:hAnsi="Arial" w:cs="Arial"/>
          <w:sz w:val="20"/>
          <w:szCs w:val="20"/>
        </w:rPr>
      </w:pPr>
      <w:r w:rsidRPr="00B16290">
        <w:rPr>
          <w:rFonts w:ascii="Arial" w:hAnsi="Arial" w:cs="Arial"/>
          <w:sz w:val="20"/>
          <w:szCs w:val="20"/>
        </w:rPr>
        <w:t>Pripravila:</w:t>
      </w:r>
    </w:p>
    <w:p w:rsidR="00B02EF9" w:rsidRPr="00B16290" w:rsidRDefault="00B02EF9" w:rsidP="00B16290">
      <w:pPr>
        <w:spacing w:after="0"/>
        <w:jc w:val="both"/>
        <w:rPr>
          <w:rFonts w:ascii="Arial" w:hAnsi="Arial" w:cs="Arial"/>
          <w:sz w:val="20"/>
          <w:szCs w:val="20"/>
        </w:rPr>
      </w:pPr>
      <w:r w:rsidRPr="00B16290">
        <w:rPr>
          <w:rFonts w:ascii="Arial" w:hAnsi="Arial" w:cs="Arial"/>
          <w:sz w:val="20"/>
          <w:szCs w:val="20"/>
        </w:rPr>
        <w:t>Darja Kocbek</w:t>
      </w:r>
    </w:p>
    <w:p w:rsidR="00192BBF" w:rsidRDefault="00192BBF" w:rsidP="00B16290">
      <w:pPr>
        <w:spacing w:after="0"/>
      </w:pPr>
    </w:p>
    <w:sectPr w:rsidR="00192BBF" w:rsidSect="000B0E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E10A7"/>
    <w:multiLevelType w:val="hybridMultilevel"/>
    <w:tmpl w:val="1C6E13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92BBF"/>
    <w:rsid w:val="000B0E9C"/>
    <w:rsid w:val="00192BBF"/>
    <w:rsid w:val="009D554F"/>
    <w:rsid w:val="00AF2EF6"/>
    <w:rsid w:val="00B02EF9"/>
    <w:rsid w:val="00B16290"/>
    <w:rsid w:val="00D20C8F"/>
    <w:rsid w:val="00DD3BF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B0E9C"/>
  </w:style>
  <w:style w:type="paragraph" w:styleId="Naslov2">
    <w:name w:val="heading 2"/>
    <w:basedOn w:val="Navaden"/>
    <w:link w:val="Naslov2Znak"/>
    <w:uiPriority w:val="9"/>
    <w:qFormat/>
    <w:rsid w:val="00DD3BFF"/>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192B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B02EF9"/>
    <w:rPr>
      <w:color w:val="0000FF" w:themeColor="hyperlink"/>
      <w:u w:val="single"/>
    </w:rPr>
  </w:style>
  <w:style w:type="paragraph" w:styleId="Odstavekseznama">
    <w:name w:val="List Paragraph"/>
    <w:basedOn w:val="Navaden"/>
    <w:uiPriority w:val="34"/>
    <w:qFormat/>
    <w:rsid w:val="00B16290"/>
    <w:pPr>
      <w:ind w:left="720"/>
      <w:contextualSpacing/>
    </w:pPr>
  </w:style>
  <w:style w:type="character" w:customStyle="1" w:styleId="Naslov2Znak">
    <w:name w:val="Naslov 2 Znak"/>
    <w:basedOn w:val="Privzetapisavaodstavka"/>
    <w:link w:val="Naslov2"/>
    <w:uiPriority w:val="9"/>
    <w:rsid w:val="00DD3BFF"/>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DD3BF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D3B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it.europa.eu/sl/in-your-langu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it.europa.eu/news-events/news/eit-announces-eur-890-million-investment-european-innovatio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318</Words>
  <Characters>1816</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2022-12-07T20:45:00Z</dcterms:created>
  <dcterms:modified xsi:type="dcterms:W3CDTF">2022-12-07T21:14:00Z</dcterms:modified>
</cp:coreProperties>
</file>