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122" w:rsidRPr="00467345" w:rsidRDefault="00EF2122" w:rsidP="00EF2122">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EF2122" w:rsidRPr="00083714" w:rsidRDefault="00EF2122" w:rsidP="00EF2122">
      <w:pPr>
        <w:pStyle w:val="Naslov2"/>
        <w:tabs>
          <w:tab w:val="left" w:pos="3120"/>
        </w:tabs>
        <w:spacing w:before="240"/>
        <w:jc w:val="center"/>
        <w:rPr>
          <w:b w:val="0"/>
          <w:bCs w:val="0"/>
          <w:i/>
          <w:iCs/>
          <w:sz w:val="22"/>
        </w:rPr>
      </w:pPr>
      <w:r w:rsidRPr="00083714">
        <w:rPr>
          <w:sz w:val="22"/>
        </w:rPr>
        <w:t>Slovensko gospodarsko in raziskovalno združenje, Bruselj</w:t>
      </w:r>
    </w:p>
    <w:p w:rsidR="00EF2122" w:rsidRPr="00083714" w:rsidRDefault="00EF2122" w:rsidP="00EF2122">
      <w:pPr>
        <w:pBdr>
          <w:bottom w:val="single" w:sz="6" w:space="1" w:color="auto"/>
        </w:pBdr>
        <w:tabs>
          <w:tab w:val="left" w:pos="3120"/>
        </w:tabs>
        <w:spacing w:before="240"/>
        <w:jc w:val="center"/>
        <w:rPr>
          <w:sz w:val="16"/>
          <w:szCs w:val="16"/>
        </w:rPr>
      </w:pPr>
    </w:p>
    <w:p w:rsidR="00EF2122" w:rsidRDefault="00EF2122" w:rsidP="00EF2122">
      <w:pPr>
        <w:tabs>
          <w:tab w:val="left" w:pos="3120"/>
        </w:tabs>
        <w:spacing w:before="240"/>
        <w:rPr>
          <w:b/>
        </w:rPr>
      </w:pPr>
      <w:r w:rsidRPr="00083714">
        <w:rPr>
          <w:b/>
        </w:rPr>
        <w:tab/>
      </w:r>
      <w:r>
        <w:rPr>
          <w:b/>
        </w:rPr>
        <w:t xml:space="preserve">Občasna informacija članom 191 </w:t>
      </w:r>
      <w:r w:rsidRPr="00083714">
        <w:rPr>
          <w:b/>
        </w:rPr>
        <w:t>– 20</w:t>
      </w:r>
      <w:r>
        <w:rPr>
          <w:b/>
        </w:rPr>
        <w:t>21</w:t>
      </w:r>
    </w:p>
    <w:p w:rsidR="00EF2122" w:rsidRPr="0084452F" w:rsidRDefault="00EF2122" w:rsidP="00EF2122">
      <w:pPr>
        <w:tabs>
          <w:tab w:val="left" w:pos="3120"/>
        </w:tabs>
        <w:spacing w:before="240"/>
        <w:jc w:val="center"/>
        <w:rPr>
          <w:b/>
        </w:rPr>
      </w:pPr>
      <w:r>
        <w:rPr>
          <w:b/>
        </w:rPr>
        <w:t xml:space="preserve">20. december </w:t>
      </w:r>
      <w:r w:rsidRPr="00083714">
        <w:rPr>
          <w:b/>
        </w:rPr>
        <w:t xml:space="preserve"> 20</w:t>
      </w:r>
      <w:r>
        <w:rPr>
          <w:b/>
        </w:rPr>
        <w:t>21</w:t>
      </w:r>
    </w:p>
    <w:p w:rsidR="00F867EB" w:rsidRDefault="00EF2122" w:rsidP="00EF2122">
      <w:pPr>
        <w:jc w:val="center"/>
        <w:rPr>
          <w:rFonts w:ascii="Arial" w:hAnsi="Arial" w:cs="Arial"/>
          <w:b/>
          <w:i/>
        </w:rPr>
      </w:pPr>
      <w:r>
        <w:rPr>
          <w:b/>
          <w:color w:val="993300"/>
          <w:sz w:val="32"/>
          <w:szCs w:val="32"/>
        </w:rPr>
        <w:t>Predlogi Evropske komisije za posodobitev prometnega sistema EU</w:t>
      </w:r>
    </w:p>
    <w:p w:rsidR="0002528F" w:rsidRPr="006E0893" w:rsidRDefault="007424E6" w:rsidP="006E0893">
      <w:pPr>
        <w:rPr>
          <w:rFonts w:ascii="Arial" w:hAnsi="Arial" w:cs="Arial"/>
          <w:b/>
          <w:i/>
        </w:rPr>
      </w:pPr>
      <w:r w:rsidRPr="006E0893">
        <w:rPr>
          <w:rFonts w:ascii="Arial" w:hAnsi="Arial" w:cs="Arial"/>
          <w:b/>
          <w:i/>
        </w:rPr>
        <w:t xml:space="preserve">Evropska komisija je sprejela štiri predloge za posodobitev prometnega sistema EU s ciljem podpreti prehod na čistejšo, okolju prijaznejšo in pametnejšo mobilnost v skladu s cilji evropskega zelenega dogovora. </w:t>
      </w:r>
      <w:r w:rsidR="009126C6" w:rsidRPr="006E0893">
        <w:rPr>
          <w:rFonts w:ascii="Arial" w:hAnsi="Arial" w:cs="Arial"/>
          <w:b/>
          <w:i/>
        </w:rPr>
        <w:t>Predlogi so Pametno in trajnostno omrežje TEN-</w:t>
      </w:r>
      <w:r w:rsidR="006E0893" w:rsidRPr="006E0893">
        <w:rPr>
          <w:rFonts w:ascii="Arial" w:hAnsi="Arial" w:cs="Arial"/>
          <w:b/>
          <w:i/>
        </w:rPr>
        <w:t>T</w:t>
      </w:r>
      <w:r w:rsidR="009126C6" w:rsidRPr="006E0893">
        <w:rPr>
          <w:rFonts w:ascii="Arial" w:hAnsi="Arial" w:cs="Arial"/>
          <w:b/>
          <w:i/>
        </w:rPr>
        <w:t xml:space="preserve">, </w:t>
      </w:r>
      <w:r w:rsidR="006E0893" w:rsidRPr="006E0893">
        <w:rPr>
          <w:rFonts w:ascii="Arial" w:hAnsi="Arial" w:cs="Arial"/>
          <w:b/>
          <w:i/>
        </w:rPr>
        <w:t>Akcijski načrt za železniški promet na dolge razdalje in čezmejni železniški promet</w:t>
      </w:r>
      <w:r w:rsidR="009126C6" w:rsidRPr="006E0893">
        <w:rPr>
          <w:rFonts w:ascii="Arial" w:hAnsi="Arial" w:cs="Arial"/>
          <w:b/>
          <w:i/>
        </w:rPr>
        <w:t xml:space="preserve">, </w:t>
      </w:r>
      <w:r w:rsidR="006E0893" w:rsidRPr="006E0893">
        <w:rPr>
          <w:rFonts w:ascii="Arial" w:hAnsi="Arial" w:cs="Arial"/>
          <w:b/>
          <w:i/>
        </w:rPr>
        <w:t>Posodobitev direktive o inteligentnih prometnih sistemih</w:t>
      </w:r>
      <w:r w:rsidR="009126C6" w:rsidRPr="006E0893">
        <w:rPr>
          <w:rFonts w:ascii="Arial" w:hAnsi="Arial" w:cs="Arial"/>
          <w:b/>
          <w:i/>
        </w:rPr>
        <w:t xml:space="preserve"> in </w:t>
      </w:r>
      <w:r w:rsidR="006E0893" w:rsidRPr="006E0893">
        <w:rPr>
          <w:rFonts w:ascii="Arial" w:hAnsi="Arial" w:cs="Arial"/>
          <w:b/>
          <w:i/>
        </w:rPr>
        <w:t>Novi okvir za mobilnost v mestih</w:t>
      </w:r>
      <w:r w:rsidR="009126C6" w:rsidRPr="006E0893">
        <w:rPr>
          <w:rFonts w:ascii="Arial" w:hAnsi="Arial" w:cs="Arial"/>
          <w:b/>
          <w:i/>
        </w:rPr>
        <w:t>. Člani lahko dobijo več informacij na SBRA.</w:t>
      </w:r>
    </w:p>
    <w:p w:rsidR="009126C6" w:rsidRPr="00B21CBF" w:rsidRDefault="009126C6" w:rsidP="00B21CBF">
      <w:pPr>
        <w:jc w:val="both"/>
        <w:rPr>
          <w:rFonts w:ascii="Arial" w:hAnsi="Arial" w:cs="Arial"/>
          <w:b/>
          <w:sz w:val="20"/>
          <w:szCs w:val="20"/>
        </w:rPr>
      </w:pPr>
      <w:r w:rsidRPr="00B21CBF">
        <w:rPr>
          <w:rFonts w:ascii="Arial" w:hAnsi="Arial" w:cs="Arial"/>
          <w:b/>
          <w:sz w:val="20"/>
          <w:szCs w:val="20"/>
        </w:rPr>
        <w:t>Pametno in trajnostno omrežje TEN-T</w:t>
      </w:r>
    </w:p>
    <w:p w:rsidR="006E0893" w:rsidRPr="00072CA6" w:rsidRDefault="006E0893" w:rsidP="00072CA6">
      <w:pPr>
        <w:jc w:val="both"/>
        <w:rPr>
          <w:rFonts w:ascii="Arial" w:hAnsi="Arial" w:cs="Arial"/>
          <w:sz w:val="20"/>
          <w:szCs w:val="20"/>
        </w:rPr>
      </w:pPr>
      <w:r w:rsidRPr="00072CA6">
        <w:rPr>
          <w:rFonts w:ascii="Arial" w:hAnsi="Arial" w:cs="Arial"/>
          <w:sz w:val="20"/>
          <w:szCs w:val="20"/>
        </w:rPr>
        <w:t xml:space="preserve">Za odpravo manjkajočih povezav in posodobitev celotnega omrežja TEN-T je v skladu s predlogom Evropske komisije treba zagotoviti, da bodo glavne potniške železniške proge TEN-T do leta 2040 vlakom omogočile potovanje s hitrostjo vsaj 160 km/h. Povečati je treba število terminalov za pretovarjanje, izboljšati zmogljivosti za pretovarjanje na tovornih terminalih, skrajšati čakalne dobe na železniških mejnih prehodih. Za preusmeritev več tovora na čistejše načine prevoza, je treba podaljšati vlake in zagotoviti možnosti, da bo mogoče tovornjake po celotnem omrežju prevažati po železnici. </w:t>
      </w:r>
    </w:p>
    <w:p w:rsidR="006E0893" w:rsidRPr="00072CA6" w:rsidRDefault="006E0893" w:rsidP="00072CA6">
      <w:pPr>
        <w:jc w:val="both"/>
        <w:rPr>
          <w:rFonts w:ascii="Arial" w:hAnsi="Arial" w:cs="Arial"/>
          <w:sz w:val="20"/>
          <w:szCs w:val="20"/>
        </w:rPr>
      </w:pPr>
      <w:r w:rsidRPr="00072CA6">
        <w:rPr>
          <w:rFonts w:ascii="Arial" w:hAnsi="Arial" w:cs="Arial"/>
          <w:sz w:val="20"/>
          <w:szCs w:val="20"/>
        </w:rPr>
        <w:t>Za izvedbo omenjenih predlogov Evropska komisija vzpostavlja devet evropskih prometnih koridorjev, ki povezujejo železnice, ceste in plovne poti. Leto 2040 je določila kot nov vmesni rok za pospešitev dokončanja glavnih delov omrežja. Od vseh 424 večjih mest v omrežju TEN-T zahteva, da razvijejo načrte za trajnostno mobilnost z izboljšanjem javnega prevoza in infrastrukture za hojo in kolesarjenje.</w:t>
      </w:r>
    </w:p>
    <w:p w:rsidR="00442D7A" w:rsidRPr="00072CA6" w:rsidRDefault="006E0893" w:rsidP="00B21CBF">
      <w:pPr>
        <w:jc w:val="both"/>
        <w:rPr>
          <w:rFonts w:ascii="Arial" w:hAnsi="Arial" w:cs="Arial"/>
          <w:b/>
          <w:sz w:val="20"/>
          <w:szCs w:val="20"/>
        </w:rPr>
      </w:pPr>
      <w:r w:rsidRPr="00072CA6">
        <w:rPr>
          <w:rFonts w:ascii="Arial" w:hAnsi="Arial" w:cs="Arial"/>
          <w:b/>
          <w:i/>
          <w:sz w:val="20"/>
          <w:szCs w:val="20"/>
        </w:rPr>
        <w:t>Akcijski načrt za železniški promet na dolge razdalje in čezmejni železniški promet</w:t>
      </w:r>
    </w:p>
    <w:p w:rsidR="006E0893" w:rsidRPr="00072CA6" w:rsidRDefault="00214394" w:rsidP="00B21CBF">
      <w:pPr>
        <w:jc w:val="both"/>
        <w:rPr>
          <w:rFonts w:ascii="Arial" w:hAnsi="Arial" w:cs="Arial"/>
          <w:sz w:val="20"/>
          <w:szCs w:val="20"/>
        </w:rPr>
      </w:pPr>
      <w:r w:rsidRPr="00072CA6">
        <w:rPr>
          <w:rFonts w:ascii="Arial" w:hAnsi="Arial" w:cs="Arial"/>
          <w:sz w:val="20"/>
          <w:szCs w:val="20"/>
        </w:rPr>
        <w:t xml:space="preserve">V akcijskem načrtu </w:t>
      </w:r>
      <w:r w:rsidR="006E0893" w:rsidRPr="00072CA6">
        <w:rPr>
          <w:rFonts w:ascii="Arial" w:hAnsi="Arial" w:cs="Arial"/>
          <w:sz w:val="20"/>
          <w:szCs w:val="20"/>
        </w:rPr>
        <w:t>je določen časovni načrt z nadaljnjimi ukrepi za pomoč EU pri doseganju cilja, da se promet na železniških povezavah za visoke hitrosti podvoji do leta 2030 in potroji do leta 2050. Da bi več ljudi spodbudili k uporabi vlaka za potovanja v tujino, Evropska komisija predlaga ukrepe za odpravo ovir za čezmejna potovanja in potovanja na dolge razdalje ter povečanje privlačnosti potovanja z vlakom za potnike. Za preskušanje pristopa iz akcijskega načrta bo do leta 2030 podprla začetek izvajanja vsaj 15 čezmejnih pilotnih projektov.</w:t>
      </w:r>
    </w:p>
    <w:p w:rsidR="00AB3243" w:rsidRPr="006E0893" w:rsidRDefault="008E55D5" w:rsidP="00B21CBF">
      <w:pPr>
        <w:jc w:val="both"/>
        <w:rPr>
          <w:rFonts w:ascii="Arial" w:hAnsi="Arial" w:cs="Arial"/>
          <w:sz w:val="20"/>
          <w:szCs w:val="20"/>
        </w:rPr>
      </w:pPr>
      <w:r w:rsidRPr="00B21CBF">
        <w:rPr>
          <w:rFonts w:ascii="Arial" w:hAnsi="Arial" w:cs="Arial"/>
          <w:b/>
          <w:sz w:val="20"/>
          <w:szCs w:val="20"/>
        </w:rPr>
        <w:t>Inteligentne transportne storitve za voznike</w:t>
      </w:r>
    </w:p>
    <w:p w:rsidR="00EF2122" w:rsidRPr="00072CA6" w:rsidRDefault="008E55D5" w:rsidP="00B21CBF">
      <w:pPr>
        <w:jc w:val="both"/>
        <w:rPr>
          <w:rFonts w:ascii="Arial" w:hAnsi="Arial" w:cs="Arial"/>
          <w:sz w:val="20"/>
          <w:szCs w:val="20"/>
        </w:rPr>
      </w:pPr>
      <w:r w:rsidRPr="00072CA6">
        <w:rPr>
          <w:rFonts w:ascii="Arial" w:hAnsi="Arial" w:cs="Arial"/>
          <w:sz w:val="20"/>
          <w:szCs w:val="20"/>
        </w:rPr>
        <w:t xml:space="preserve">Evropska komisija predlaga posodobitev direktive o inteligentnih transportnih </w:t>
      </w:r>
      <w:r w:rsidR="00072CA6" w:rsidRPr="00072CA6">
        <w:rPr>
          <w:rFonts w:ascii="Arial" w:hAnsi="Arial" w:cs="Arial"/>
          <w:sz w:val="20"/>
          <w:szCs w:val="20"/>
        </w:rPr>
        <w:t xml:space="preserve">sistemih, ker so se pojavile nove možnosti v cestni mobilnosti, aplikacije za mobilnost ter povezana in avtomatizirana </w:t>
      </w:r>
      <w:r w:rsidR="00072CA6" w:rsidRPr="00072CA6">
        <w:rPr>
          <w:rFonts w:ascii="Arial" w:hAnsi="Arial" w:cs="Arial"/>
          <w:sz w:val="20"/>
          <w:szCs w:val="20"/>
        </w:rPr>
        <w:lastRenderedPageBreak/>
        <w:t xml:space="preserve">mobilnost. Predlaga, da v digitalni obliki postanejo na voljo nekateri ključni cestni, potovalni in prometni podatki, kot so omejitve hitrosti, načrti pretoka prometa ali dela na cesti, in to po celem omrežju TEN-T in nazadnje tudi po celotnem cestnem omrežju. Predlog </w:t>
      </w:r>
      <w:proofErr w:type="spellStart"/>
      <w:r w:rsidR="00072CA6" w:rsidRPr="00072CA6">
        <w:rPr>
          <w:rFonts w:ascii="Arial" w:hAnsi="Arial" w:cs="Arial"/>
          <w:sz w:val="20"/>
          <w:szCs w:val="20"/>
        </w:rPr>
        <w:t>prtedvideva</w:t>
      </w:r>
      <w:proofErr w:type="spellEnd"/>
      <w:r w:rsidR="00072CA6" w:rsidRPr="00072CA6">
        <w:rPr>
          <w:rFonts w:ascii="Arial" w:hAnsi="Arial" w:cs="Arial"/>
          <w:sz w:val="20"/>
          <w:szCs w:val="20"/>
        </w:rPr>
        <w:t xml:space="preserve"> tudi, da bodo voznikom v omrežju TEN-T na voljo bistvene varnostne storitve.</w:t>
      </w:r>
    </w:p>
    <w:p w:rsidR="008E55D5" w:rsidRPr="00B21CBF" w:rsidRDefault="008E55D5" w:rsidP="00B21CBF">
      <w:pPr>
        <w:jc w:val="both"/>
        <w:rPr>
          <w:rFonts w:ascii="Arial" w:hAnsi="Arial" w:cs="Arial"/>
          <w:b/>
          <w:sz w:val="20"/>
          <w:szCs w:val="20"/>
        </w:rPr>
      </w:pPr>
      <w:r w:rsidRPr="00B21CBF">
        <w:rPr>
          <w:rFonts w:ascii="Arial" w:hAnsi="Arial" w:cs="Arial"/>
          <w:b/>
          <w:sz w:val="20"/>
          <w:szCs w:val="20"/>
        </w:rPr>
        <w:t>Čistejša, bolj zelena, enostavnejša urbana mobilnost</w:t>
      </w:r>
    </w:p>
    <w:p w:rsidR="00072CA6" w:rsidRPr="00072CA6" w:rsidRDefault="00072CA6" w:rsidP="00B21CBF">
      <w:pPr>
        <w:jc w:val="both"/>
        <w:rPr>
          <w:rFonts w:ascii="Arial" w:hAnsi="Arial" w:cs="Arial"/>
          <w:b/>
          <w:sz w:val="20"/>
          <w:szCs w:val="20"/>
        </w:rPr>
      </w:pPr>
      <w:r w:rsidRPr="00072CA6">
        <w:rPr>
          <w:rFonts w:ascii="Arial" w:hAnsi="Arial" w:cs="Arial"/>
          <w:sz w:val="20"/>
          <w:szCs w:val="20"/>
        </w:rPr>
        <w:t xml:space="preserve">Okvir za mobilnost v mestih določa evropske smernice o tem, kako lahko mesta zmanjšajo izpuste in izboljšajo mobilnost tudi prek načrtov za trajnostno mobilnost v mestih. Glavni poudarek je na javnem prevozu, hoji in kolesarjenju. Predlog za mestne vozne parke, vključno s taksiji in storitvami naročanja prevoza, ter za zadnji del poti pri dostavah v mestih, daje prednost rešitvam brez izpustov pa tudi gradnji in posodobitvi </w:t>
      </w:r>
      <w:proofErr w:type="spellStart"/>
      <w:r w:rsidRPr="00072CA6">
        <w:rPr>
          <w:rFonts w:ascii="Arial" w:hAnsi="Arial" w:cs="Arial"/>
          <w:sz w:val="20"/>
          <w:szCs w:val="20"/>
        </w:rPr>
        <w:t>multimodalnih</w:t>
      </w:r>
      <w:proofErr w:type="spellEnd"/>
      <w:r w:rsidRPr="00072CA6">
        <w:rPr>
          <w:rFonts w:ascii="Arial" w:hAnsi="Arial" w:cs="Arial"/>
          <w:sz w:val="20"/>
          <w:szCs w:val="20"/>
        </w:rPr>
        <w:t xml:space="preserve"> vozlišč ter novim digitalnim rešitvam in storitvam. V predlogu so opredeljene možnosti financiranja, ki jih imajo lokalni in regionalni organi za izvajanje teh prednostnih nalog. Komisija bo leta 2022 državam članicam EU predlagala priporočilo za pripravo nacionalnih načrtov za pomoč mestom pri razvoju njihovih načrtov mobilnosti.</w:t>
      </w:r>
      <w:r w:rsidRPr="00072CA6">
        <w:rPr>
          <w:rFonts w:ascii="Arial" w:hAnsi="Arial" w:cs="Arial"/>
          <w:b/>
          <w:sz w:val="20"/>
          <w:szCs w:val="20"/>
        </w:rPr>
        <w:t xml:space="preserve"> </w:t>
      </w:r>
    </w:p>
    <w:p w:rsidR="000F629C" w:rsidRPr="00B21CBF" w:rsidRDefault="000F629C" w:rsidP="00B21CBF">
      <w:pPr>
        <w:jc w:val="both"/>
        <w:rPr>
          <w:rFonts w:ascii="Arial" w:hAnsi="Arial" w:cs="Arial"/>
          <w:b/>
          <w:sz w:val="20"/>
          <w:szCs w:val="20"/>
        </w:rPr>
      </w:pPr>
      <w:r w:rsidRPr="00B21CBF">
        <w:rPr>
          <w:rFonts w:ascii="Arial" w:hAnsi="Arial" w:cs="Arial"/>
          <w:b/>
          <w:sz w:val="20"/>
          <w:szCs w:val="20"/>
        </w:rPr>
        <w:t>Koristne informacije:</w:t>
      </w:r>
    </w:p>
    <w:p w:rsidR="000F629C" w:rsidRPr="00B21CBF" w:rsidRDefault="000F629C" w:rsidP="00B21CBF">
      <w:pPr>
        <w:pStyle w:val="Odstavekseznama"/>
        <w:numPr>
          <w:ilvl w:val="0"/>
          <w:numId w:val="1"/>
        </w:numPr>
        <w:jc w:val="both"/>
        <w:rPr>
          <w:rFonts w:ascii="Arial" w:hAnsi="Arial" w:cs="Arial"/>
          <w:sz w:val="20"/>
          <w:szCs w:val="20"/>
        </w:rPr>
      </w:pPr>
      <w:r w:rsidRPr="00B21CBF">
        <w:rPr>
          <w:rFonts w:ascii="Arial" w:hAnsi="Arial" w:cs="Arial"/>
          <w:sz w:val="20"/>
          <w:szCs w:val="20"/>
        </w:rPr>
        <w:t>Akcijski načrt za spodbujanje železniškega potniškega prometa na dolge razdalje in čezmejnega potniškega prometa:</w:t>
      </w:r>
    </w:p>
    <w:p w:rsidR="000F629C" w:rsidRPr="00B21CBF" w:rsidRDefault="002355B6" w:rsidP="00B21CBF">
      <w:pPr>
        <w:pStyle w:val="Odstavekseznama"/>
        <w:numPr>
          <w:ilvl w:val="0"/>
          <w:numId w:val="1"/>
        </w:numPr>
        <w:jc w:val="both"/>
        <w:rPr>
          <w:rFonts w:ascii="Arial" w:hAnsi="Arial" w:cs="Arial"/>
          <w:sz w:val="20"/>
          <w:szCs w:val="20"/>
        </w:rPr>
      </w:pPr>
      <w:hyperlink r:id="rId6" w:history="1">
        <w:r w:rsidR="000F629C" w:rsidRPr="00B21CBF">
          <w:rPr>
            <w:rStyle w:val="Hiperpovezava"/>
            <w:rFonts w:ascii="Arial" w:hAnsi="Arial" w:cs="Arial"/>
            <w:sz w:val="20"/>
            <w:szCs w:val="20"/>
          </w:rPr>
          <w:t>https://transport.ec.europa.eu/system/files/2021-12/com_2021_810_action-plan-to-boost-long-distance-and-cross-border-passenger-rail.pdf</w:t>
        </w:r>
      </w:hyperlink>
    </w:p>
    <w:p w:rsidR="000F629C" w:rsidRPr="00B21CBF" w:rsidRDefault="000F629C" w:rsidP="00B21CBF">
      <w:pPr>
        <w:pStyle w:val="Odstavekseznama"/>
        <w:numPr>
          <w:ilvl w:val="0"/>
          <w:numId w:val="1"/>
        </w:numPr>
        <w:jc w:val="both"/>
        <w:rPr>
          <w:rFonts w:ascii="Arial" w:hAnsi="Arial" w:cs="Arial"/>
          <w:sz w:val="20"/>
          <w:szCs w:val="20"/>
        </w:rPr>
      </w:pPr>
      <w:r w:rsidRPr="00B21CBF">
        <w:rPr>
          <w:rFonts w:ascii="Arial" w:hAnsi="Arial" w:cs="Arial"/>
          <w:sz w:val="20"/>
          <w:szCs w:val="20"/>
        </w:rPr>
        <w:t>Smernice za TEN-T:</w:t>
      </w:r>
    </w:p>
    <w:p w:rsidR="000F629C" w:rsidRPr="00B21CBF" w:rsidRDefault="002355B6" w:rsidP="00B21CBF">
      <w:pPr>
        <w:pStyle w:val="Odstavekseznama"/>
        <w:numPr>
          <w:ilvl w:val="0"/>
          <w:numId w:val="1"/>
        </w:numPr>
        <w:jc w:val="both"/>
        <w:rPr>
          <w:rFonts w:ascii="Arial" w:hAnsi="Arial" w:cs="Arial"/>
          <w:sz w:val="20"/>
          <w:szCs w:val="20"/>
        </w:rPr>
      </w:pPr>
      <w:hyperlink r:id="rId7" w:history="1">
        <w:r w:rsidR="000F629C" w:rsidRPr="00B21CBF">
          <w:rPr>
            <w:rStyle w:val="Hiperpovezava"/>
            <w:rFonts w:ascii="Arial" w:hAnsi="Arial" w:cs="Arial"/>
            <w:sz w:val="20"/>
            <w:szCs w:val="20"/>
          </w:rPr>
          <w:t>https://transport.ec.europa.eu/system/files/2021-12/COM_2021_812_proposal_for_a_regulation_0.pdf</w:t>
        </w:r>
      </w:hyperlink>
    </w:p>
    <w:p w:rsidR="000F629C" w:rsidRPr="00B21CBF" w:rsidRDefault="000F629C" w:rsidP="00B21CBF">
      <w:pPr>
        <w:pStyle w:val="Odstavekseznama"/>
        <w:numPr>
          <w:ilvl w:val="0"/>
          <w:numId w:val="1"/>
        </w:numPr>
        <w:jc w:val="both"/>
        <w:rPr>
          <w:rFonts w:ascii="Arial" w:hAnsi="Arial" w:cs="Arial"/>
          <w:sz w:val="20"/>
          <w:szCs w:val="20"/>
        </w:rPr>
      </w:pPr>
      <w:r w:rsidRPr="00B21CBF">
        <w:rPr>
          <w:rFonts w:ascii="Arial" w:hAnsi="Arial" w:cs="Arial"/>
          <w:sz w:val="20"/>
          <w:szCs w:val="20"/>
        </w:rPr>
        <w:t>Razširitev TEN-T na sosednje države:</w:t>
      </w:r>
    </w:p>
    <w:p w:rsidR="000F629C" w:rsidRPr="00B21CBF" w:rsidRDefault="002355B6" w:rsidP="00B21CBF">
      <w:pPr>
        <w:pStyle w:val="Odstavekseznama"/>
        <w:numPr>
          <w:ilvl w:val="0"/>
          <w:numId w:val="1"/>
        </w:numPr>
        <w:jc w:val="both"/>
        <w:rPr>
          <w:rFonts w:ascii="Arial" w:hAnsi="Arial" w:cs="Arial"/>
          <w:sz w:val="20"/>
          <w:szCs w:val="20"/>
        </w:rPr>
      </w:pPr>
      <w:hyperlink r:id="rId8" w:history="1">
        <w:r w:rsidR="000F629C" w:rsidRPr="00B21CBF">
          <w:rPr>
            <w:rStyle w:val="Hiperpovezava"/>
            <w:rFonts w:ascii="Arial" w:hAnsi="Arial" w:cs="Arial"/>
            <w:sz w:val="20"/>
            <w:szCs w:val="20"/>
          </w:rPr>
          <w:t>https://transport.ec.europa.eu/system/files/2021-12/COM_2021_820.pdf</w:t>
        </w:r>
      </w:hyperlink>
    </w:p>
    <w:p w:rsidR="000F629C" w:rsidRPr="00B21CBF" w:rsidRDefault="000F629C" w:rsidP="00B21CBF">
      <w:pPr>
        <w:pStyle w:val="Odstavekseznama"/>
        <w:numPr>
          <w:ilvl w:val="0"/>
          <w:numId w:val="1"/>
        </w:numPr>
        <w:jc w:val="both"/>
        <w:rPr>
          <w:rFonts w:ascii="Arial" w:hAnsi="Arial" w:cs="Arial"/>
          <w:sz w:val="20"/>
          <w:szCs w:val="20"/>
        </w:rPr>
      </w:pPr>
      <w:r w:rsidRPr="00B21CBF">
        <w:rPr>
          <w:rFonts w:ascii="Arial" w:hAnsi="Arial" w:cs="Arial"/>
          <w:sz w:val="20"/>
          <w:szCs w:val="20"/>
        </w:rPr>
        <w:t>Nov akcijski načrt za urbano mobilnost:</w:t>
      </w:r>
    </w:p>
    <w:p w:rsidR="000F629C" w:rsidRPr="00B21CBF" w:rsidRDefault="002355B6" w:rsidP="00B21CBF">
      <w:pPr>
        <w:pStyle w:val="Odstavekseznama"/>
        <w:numPr>
          <w:ilvl w:val="0"/>
          <w:numId w:val="1"/>
        </w:numPr>
        <w:jc w:val="both"/>
        <w:rPr>
          <w:rFonts w:ascii="Arial" w:hAnsi="Arial" w:cs="Arial"/>
          <w:sz w:val="20"/>
          <w:szCs w:val="20"/>
        </w:rPr>
      </w:pPr>
      <w:hyperlink r:id="rId9" w:history="1">
        <w:r w:rsidR="000F629C" w:rsidRPr="00B21CBF">
          <w:rPr>
            <w:rStyle w:val="Hiperpovezava"/>
            <w:rFonts w:ascii="Arial" w:hAnsi="Arial" w:cs="Arial"/>
            <w:sz w:val="20"/>
            <w:szCs w:val="20"/>
          </w:rPr>
          <w:t>https://transport.ec.europa.eu/system/files/2021-12/com_2021_811_2_the-new-eu-urban-mobility.pdf</w:t>
        </w:r>
      </w:hyperlink>
    </w:p>
    <w:p w:rsidR="000F629C" w:rsidRPr="00B21CBF" w:rsidRDefault="000F629C" w:rsidP="00B21CBF">
      <w:pPr>
        <w:pStyle w:val="Odstavekseznama"/>
        <w:numPr>
          <w:ilvl w:val="0"/>
          <w:numId w:val="1"/>
        </w:numPr>
        <w:jc w:val="both"/>
        <w:rPr>
          <w:rFonts w:ascii="Arial" w:hAnsi="Arial" w:cs="Arial"/>
          <w:sz w:val="20"/>
          <w:szCs w:val="20"/>
        </w:rPr>
      </w:pPr>
      <w:r w:rsidRPr="00B21CBF">
        <w:rPr>
          <w:rFonts w:ascii="Arial" w:hAnsi="Arial" w:cs="Arial"/>
          <w:sz w:val="20"/>
          <w:szCs w:val="20"/>
        </w:rPr>
        <w:t>Direktiva o inteligentnih transportnih sistemih:</w:t>
      </w:r>
    </w:p>
    <w:p w:rsidR="000F629C" w:rsidRPr="00B21CBF" w:rsidRDefault="002355B6" w:rsidP="00B21CBF">
      <w:pPr>
        <w:pStyle w:val="Odstavekseznama"/>
        <w:numPr>
          <w:ilvl w:val="0"/>
          <w:numId w:val="1"/>
        </w:numPr>
        <w:jc w:val="both"/>
        <w:rPr>
          <w:rFonts w:ascii="Arial" w:hAnsi="Arial" w:cs="Arial"/>
          <w:sz w:val="20"/>
          <w:szCs w:val="20"/>
        </w:rPr>
      </w:pPr>
      <w:hyperlink r:id="rId10" w:history="1">
        <w:r w:rsidR="000F629C" w:rsidRPr="00B21CBF">
          <w:rPr>
            <w:rStyle w:val="Hiperpovezava"/>
            <w:rFonts w:ascii="Arial" w:hAnsi="Arial" w:cs="Arial"/>
            <w:sz w:val="20"/>
            <w:szCs w:val="20"/>
          </w:rPr>
          <w:t>https://transport.ec.europa.eu/system/files/2021-12/COM_2021_813_proposal.pdf</w:t>
        </w:r>
      </w:hyperlink>
    </w:p>
    <w:p w:rsidR="000F629C" w:rsidRPr="00B21CBF" w:rsidRDefault="000F629C" w:rsidP="00B21CBF">
      <w:pPr>
        <w:spacing w:after="0"/>
        <w:jc w:val="both"/>
        <w:rPr>
          <w:rFonts w:ascii="Arial" w:hAnsi="Arial" w:cs="Arial"/>
          <w:sz w:val="20"/>
          <w:szCs w:val="20"/>
        </w:rPr>
      </w:pPr>
      <w:r w:rsidRPr="00B21CBF">
        <w:rPr>
          <w:rFonts w:ascii="Arial" w:hAnsi="Arial" w:cs="Arial"/>
          <w:sz w:val="20"/>
          <w:szCs w:val="20"/>
        </w:rPr>
        <w:t>Pripravila:</w:t>
      </w:r>
    </w:p>
    <w:p w:rsidR="000F629C" w:rsidRPr="00B21CBF" w:rsidRDefault="000F629C" w:rsidP="00B21CBF">
      <w:pPr>
        <w:spacing w:after="0"/>
        <w:jc w:val="both"/>
        <w:rPr>
          <w:rFonts w:ascii="Arial" w:hAnsi="Arial" w:cs="Arial"/>
          <w:sz w:val="20"/>
          <w:szCs w:val="20"/>
        </w:rPr>
      </w:pPr>
      <w:r w:rsidRPr="00B21CBF">
        <w:rPr>
          <w:rFonts w:ascii="Arial" w:hAnsi="Arial" w:cs="Arial"/>
          <w:sz w:val="20"/>
          <w:szCs w:val="20"/>
        </w:rPr>
        <w:t>Darja Kocbek</w:t>
      </w:r>
    </w:p>
    <w:sectPr w:rsidR="000F629C" w:rsidRPr="00B21CBF" w:rsidSect="0002528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8146D4"/>
    <w:multiLevelType w:val="hybridMultilevel"/>
    <w:tmpl w:val="F7FE95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424E6"/>
    <w:rsid w:val="0002528F"/>
    <w:rsid w:val="00072CA6"/>
    <w:rsid w:val="000F629C"/>
    <w:rsid w:val="00214394"/>
    <w:rsid w:val="002355B6"/>
    <w:rsid w:val="00442D7A"/>
    <w:rsid w:val="006E0893"/>
    <w:rsid w:val="007424E6"/>
    <w:rsid w:val="008E55D5"/>
    <w:rsid w:val="009126C6"/>
    <w:rsid w:val="00AB3243"/>
    <w:rsid w:val="00B21CBF"/>
    <w:rsid w:val="00DA753D"/>
    <w:rsid w:val="00EF2122"/>
    <w:rsid w:val="00F31F43"/>
    <w:rsid w:val="00F867E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2528F"/>
  </w:style>
  <w:style w:type="paragraph" w:styleId="Naslov2">
    <w:name w:val="heading 2"/>
    <w:basedOn w:val="Navaden"/>
    <w:next w:val="Navaden"/>
    <w:link w:val="Naslov2Znak"/>
    <w:uiPriority w:val="9"/>
    <w:semiHidden/>
    <w:unhideWhenUsed/>
    <w:qFormat/>
    <w:rsid w:val="00EF212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0F629C"/>
    <w:rPr>
      <w:color w:val="0000FF" w:themeColor="hyperlink"/>
      <w:u w:val="single"/>
    </w:rPr>
  </w:style>
  <w:style w:type="paragraph" w:styleId="Odstavekseznama">
    <w:name w:val="List Paragraph"/>
    <w:basedOn w:val="Navaden"/>
    <w:uiPriority w:val="34"/>
    <w:qFormat/>
    <w:rsid w:val="00B21CBF"/>
    <w:pPr>
      <w:ind w:left="720"/>
      <w:contextualSpacing/>
    </w:pPr>
  </w:style>
  <w:style w:type="character" w:customStyle="1" w:styleId="Naslov2Znak">
    <w:name w:val="Naslov 2 Znak"/>
    <w:basedOn w:val="Privzetapisavaodstavka"/>
    <w:link w:val="Naslov2"/>
    <w:uiPriority w:val="9"/>
    <w:semiHidden/>
    <w:rsid w:val="00EF2122"/>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EF212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F21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ansport.ec.europa.eu/system/files/2021-12/COM_2021_820.pdf" TargetMode="External"/><Relationship Id="rId3" Type="http://schemas.openxmlformats.org/officeDocument/2006/relationships/settings" Target="settings.xml"/><Relationship Id="rId7" Type="http://schemas.openxmlformats.org/officeDocument/2006/relationships/hyperlink" Target="https://transport.ec.europa.eu/system/files/2021-12/COM_2021_812_proposal_for_a_regulation_0.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ansport.ec.europa.eu/system/files/2021-12/com_2021_810_action-plan-to-boost-long-distance-and-cross-border-passenger-rail.pdf"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transport.ec.europa.eu/system/files/2021-12/COM_2021_813_proposal.pdf" TargetMode="External"/><Relationship Id="rId4" Type="http://schemas.openxmlformats.org/officeDocument/2006/relationships/webSettings" Target="webSettings.xml"/><Relationship Id="rId9" Type="http://schemas.openxmlformats.org/officeDocument/2006/relationships/hyperlink" Target="https://transport.ec.europa.eu/system/files/2021-12/com_2021_811_2_the-new-eu-urban-mobility.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759</Words>
  <Characters>4331</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5080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dcterms:created xsi:type="dcterms:W3CDTF">2021-12-14T19:12:00Z</dcterms:created>
  <dcterms:modified xsi:type="dcterms:W3CDTF">2021-12-16T13:03:00Z</dcterms:modified>
</cp:coreProperties>
</file>