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7B5" w:rsidRPr="00467345" w:rsidRDefault="00BF77B5" w:rsidP="00BF77B5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77B5" w:rsidRPr="00083714" w:rsidRDefault="00BF77B5" w:rsidP="00BF77B5">
      <w:pPr>
        <w:pStyle w:val="Naslov2"/>
        <w:tabs>
          <w:tab w:val="left" w:pos="3120"/>
        </w:tabs>
        <w:spacing w:before="24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BF77B5" w:rsidRPr="00083714" w:rsidRDefault="00BF77B5" w:rsidP="00BF77B5">
      <w:pPr>
        <w:pBdr>
          <w:bottom w:val="single" w:sz="6" w:space="1" w:color="auto"/>
        </w:pBdr>
        <w:tabs>
          <w:tab w:val="left" w:pos="3120"/>
        </w:tabs>
        <w:spacing w:before="240"/>
        <w:jc w:val="center"/>
        <w:rPr>
          <w:sz w:val="16"/>
          <w:szCs w:val="16"/>
        </w:rPr>
      </w:pPr>
    </w:p>
    <w:p w:rsidR="00BF77B5" w:rsidRDefault="00BF77B5" w:rsidP="00BF77B5">
      <w:pPr>
        <w:tabs>
          <w:tab w:val="left" w:pos="3120"/>
        </w:tabs>
        <w:spacing w:before="240"/>
        <w:rPr>
          <w:b/>
        </w:rPr>
      </w:pPr>
      <w:r w:rsidRPr="00083714">
        <w:rPr>
          <w:b/>
        </w:rPr>
        <w:tab/>
      </w:r>
      <w:r>
        <w:rPr>
          <w:b/>
        </w:rPr>
        <w:t xml:space="preserve">Občasna informacija članom 18 </w:t>
      </w:r>
      <w:r w:rsidRPr="00083714">
        <w:rPr>
          <w:b/>
        </w:rPr>
        <w:t>– 20</w:t>
      </w:r>
      <w:r>
        <w:rPr>
          <w:b/>
        </w:rPr>
        <w:t>22</w:t>
      </w:r>
    </w:p>
    <w:p w:rsidR="00BF77B5" w:rsidRPr="0084452F" w:rsidRDefault="00BF77B5" w:rsidP="00BF77B5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31. januar </w:t>
      </w:r>
      <w:r w:rsidRPr="00083714">
        <w:rPr>
          <w:b/>
        </w:rPr>
        <w:t xml:space="preserve"> 20</w:t>
      </w:r>
      <w:r>
        <w:rPr>
          <w:b/>
        </w:rPr>
        <w:t>22</w:t>
      </w:r>
    </w:p>
    <w:p w:rsidR="00BF77B5" w:rsidRDefault="00BF77B5" w:rsidP="00BF77B5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Predstavitev izzivov in možnosti za raziskave in inovacije na področju čistega vodika</w:t>
      </w:r>
    </w:p>
    <w:p w:rsidR="009751F8" w:rsidRPr="006F1A9F" w:rsidRDefault="00F14142" w:rsidP="006F1A9F">
      <w:pPr>
        <w:jc w:val="both"/>
        <w:rPr>
          <w:rFonts w:ascii="Arial" w:hAnsi="Arial" w:cs="Arial"/>
          <w:b/>
          <w:i/>
        </w:rPr>
      </w:pPr>
      <w:r w:rsidRPr="006F1A9F">
        <w:rPr>
          <w:rFonts w:ascii="Arial" w:hAnsi="Arial" w:cs="Arial"/>
          <w:b/>
          <w:i/>
        </w:rPr>
        <w:t>Evropska komisija je objavila dokument, v katerem predstavlja vlogo naložb EU v raziskave in inovacije na področju čistega vodika za pospešitev prehoda na zeleno energijo in doseganje evropskih ciljev zelenega dogovora do leta 2050. V njem so informacije o instrumentih, povezanih z raziskavami in naložbami, pa tudi o izzivih in priložnostih za uvedbo vodikovih tehnologij na trg v bližnji prihodnosti in pospešeno vzpostavitev evropskega vodikovega gospodarstva.</w:t>
      </w:r>
    </w:p>
    <w:p w:rsidR="00E03576" w:rsidRPr="006F1A9F" w:rsidRDefault="00E03576" w:rsidP="006F1A9F">
      <w:pPr>
        <w:jc w:val="both"/>
        <w:rPr>
          <w:rFonts w:ascii="Arial" w:hAnsi="Arial" w:cs="Arial"/>
          <w:sz w:val="20"/>
          <w:szCs w:val="20"/>
        </w:rPr>
      </w:pPr>
      <w:r w:rsidRPr="006F1A9F">
        <w:rPr>
          <w:rFonts w:ascii="Arial" w:hAnsi="Arial" w:cs="Arial"/>
          <w:sz w:val="20"/>
          <w:szCs w:val="20"/>
        </w:rPr>
        <w:t xml:space="preserve">Po oceni </w:t>
      </w:r>
      <w:r w:rsidR="00BF77B5">
        <w:rPr>
          <w:rFonts w:ascii="Arial" w:hAnsi="Arial" w:cs="Arial"/>
          <w:sz w:val="20"/>
          <w:szCs w:val="20"/>
        </w:rPr>
        <w:t>služb</w:t>
      </w:r>
      <w:r w:rsidRPr="006F1A9F">
        <w:rPr>
          <w:rFonts w:ascii="Arial" w:hAnsi="Arial" w:cs="Arial"/>
          <w:sz w:val="20"/>
          <w:szCs w:val="20"/>
        </w:rPr>
        <w:t xml:space="preserve"> Evropske komisije so potrebna nadaljnja prizadevanja na področjih, kot so: krožnost opreme za vodik, okoljski in družbeno-ekonomski vpliv vodikove tehnologije, zmanjšanje uporabe in odvisnosti od kritičnih surovin, varnostna vprašanja vzdolž celotne vrednostne verige, da se vzpostavi zaupanje, potrebno za široko razširjenost v družbi. Več je prav tako treba narediti na področju raziskav o tem, kako povečati ozaveščenost in sprejemljivost čistega vodika v javnosti, in pri razvoju znanj in spretnosti za industrijo na vseh stopnjah vrednostne verige vodika.</w:t>
      </w:r>
    </w:p>
    <w:p w:rsidR="007144E1" w:rsidRPr="006F1A9F" w:rsidRDefault="007144E1" w:rsidP="006F1A9F">
      <w:pPr>
        <w:jc w:val="both"/>
        <w:rPr>
          <w:rFonts w:ascii="Arial" w:hAnsi="Arial" w:cs="Arial"/>
          <w:sz w:val="20"/>
          <w:szCs w:val="20"/>
        </w:rPr>
      </w:pPr>
      <w:r w:rsidRPr="006F1A9F">
        <w:rPr>
          <w:rFonts w:ascii="Arial" w:hAnsi="Arial" w:cs="Arial"/>
          <w:sz w:val="20"/>
          <w:szCs w:val="20"/>
        </w:rPr>
        <w:t xml:space="preserve">Raziskave na področju družboslovja in humanistike bodo po oceni Evropske komisije ključne za razumevanje in analizo potreb državljanov, pa tudi, kako jih vključiti v uporabo te nove tehnologije. </w:t>
      </w:r>
      <w:r w:rsidR="006A2A7F" w:rsidRPr="006F1A9F">
        <w:rPr>
          <w:rFonts w:ascii="Arial" w:hAnsi="Arial" w:cs="Arial"/>
          <w:sz w:val="20"/>
          <w:szCs w:val="20"/>
        </w:rPr>
        <w:t xml:space="preserve">Pomemben element za izvajanje evropske strategije za vodik je okrepitev sinergij med evropskimi instrumenti financiranja. </w:t>
      </w:r>
    </w:p>
    <w:p w:rsidR="006A2A7F" w:rsidRPr="006F1A9F" w:rsidRDefault="006A2A7F" w:rsidP="006F1A9F">
      <w:pPr>
        <w:jc w:val="both"/>
        <w:rPr>
          <w:rFonts w:ascii="Arial" w:hAnsi="Arial" w:cs="Arial"/>
          <w:b/>
          <w:sz w:val="20"/>
          <w:szCs w:val="20"/>
        </w:rPr>
      </w:pPr>
      <w:r w:rsidRPr="006F1A9F">
        <w:rPr>
          <w:rFonts w:ascii="Arial" w:hAnsi="Arial" w:cs="Arial"/>
          <w:b/>
          <w:sz w:val="20"/>
          <w:szCs w:val="20"/>
        </w:rPr>
        <w:t>Koristne informacije:</w:t>
      </w:r>
    </w:p>
    <w:p w:rsidR="006A2A7F" w:rsidRPr="006F1A9F" w:rsidRDefault="006A2A7F" w:rsidP="006F1A9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F1A9F">
        <w:rPr>
          <w:rFonts w:ascii="Arial" w:hAnsi="Arial" w:cs="Arial"/>
          <w:sz w:val="20"/>
          <w:szCs w:val="20"/>
        </w:rPr>
        <w:t>Delovni dokument Evropske komisije:</w:t>
      </w:r>
    </w:p>
    <w:p w:rsidR="006A2A7F" w:rsidRPr="006F1A9F" w:rsidRDefault="00647D45" w:rsidP="006F1A9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6F1A9F">
          <w:rPr>
            <w:rStyle w:val="Hiperpovezava"/>
            <w:rFonts w:ascii="Arial" w:hAnsi="Arial" w:cs="Arial"/>
            <w:sz w:val="20"/>
            <w:szCs w:val="20"/>
          </w:rPr>
          <w:t>https://ec.europa.eu/info/files/commission-staff-working-document-building-european-research-area-clean-hydrogen_sl</w:t>
        </w:r>
      </w:hyperlink>
    </w:p>
    <w:p w:rsidR="00647D45" w:rsidRPr="006F1A9F" w:rsidRDefault="00647D45" w:rsidP="006F1A9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F1A9F">
        <w:rPr>
          <w:rFonts w:ascii="Arial" w:hAnsi="Arial" w:cs="Arial"/>
          <w:sz w:val="20"/>
          <w:szCs w:val="20"/>
        </w:rPr>
        <w:t>Spletna stran Evropske komisije z informacijami o čistem vodiku:</w:t>
      </w:r>
    </w:p>
    <w:p w:rsidR="00647D45" w:rsidRPr="006F1A9F" w:rsidRDefault="00647D45" w:rsidP="006F1A9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6F1A9F">
          <w:rPr>
            <w:rStyle w:val="Hiperpovezava"/>
            <w:rFonts w:ascii="Arial" w:hAnsi="Arial" w:cs="Arial"/>
            <w:sz w:val="20"/>
            <w:szCs w:val="20"/>
          </w:rPr>
          <w:t>https://ec.europa.eu/growth/industry/strategy/hydrogen_sl</w:t>
        </w:r>
      </w:hyperlink>
    </w:p>
    <w:p w:rsidR="00647D45" w:rsidRPr="006F1A9F" w:rsidRDefault="00647D45" w:rsidP="006F1A9F">
      <w:pPr>
        <w:spacing w:after="0"/>
        <w:jc w:val="both"/>
        <w:rPr>
          <w:rFonts w:ascii="Arial" w:hAnsi="Arial" w:cs="Arial"/>
          <w:sz w:val="20"/>
          <w:szCs w:val="20"/>
        </w:rPr>
      </w:pPr>
      <w:r w:rsidRPr="006F1A9F">
        <w:rPr>
          <w:rFonts w:ascii="Arial" w:hAnsi="Arial" w:cs="Arial"/>
          <w:sz w:val="20"/>
          <w:szCs w:val="20"/>
        </w:rPr>
        <w:t>Pripravila:</w:t>
      </w:r>
    </w:p>
    <w:p w:rsidR="00647D45" w:rsidRPr="006F1A9F" w:rsidRDefault="00647D45" w:rsidP="006F1A9F">
      <w:pPr>
        <w:spacing w:after="0"/>
        <w:jc w:val="both"/>
        <w:rPr>
          <w:rFonts w:ascii="Arial" w:hAnsi="Arial" w:cs="Arial"/>
          <w:sz w:val="20"/>
          <w:szCs w:val="20"/>
        </w:rPr>
      </w:pPr>
      <w:r w:rsidRPr="006F1A9F">
        <w:rPr>
          <w:rFonts w:ascii="Arial" w:hAnsi="Arial" w:cs="Arial"/>
          <w:sz w:val="20"/>
          <w:szCs w:val="20"/>
        </w:rPr>
        <w:t>Darja Kocbek</w:t>
      </w:r>
    </w:p>
    <w:p w:rsidR="00E03576" w:rsidRDefault="00E03576" w:rsidP="006F1A9F">
      <w:pPr>
        <w:spacing w:after="0"/>
      </w:pPr>
    </w:p>
    <w:p w:rsidR="00F14142" w:rsidRDefault="00F14142"/>
    <w:sectPr w:rsidR="00F14142" w:rsidSect="009751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2B43A8"/>
    <w:multiLevelType w:val="hybridMultilevel"/>
    <w:tmpl w:val="73A871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14142"/>
    <w:rsid w:val="00647D45"/>
    <w:rsid w:val="006A2A7F"/>
    <w:rsid w:val="006F1A9F"/>
    <w:rsid w:val="007144E1"/>
    <w:rsid w:val="009751F8"/>
    <w:rsid w:val="00BF77B5"/>
    <w:rsid w:val="00E03576"/>
    <w:rsid w:val="00F14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751F8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BF77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6A2A7F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6F1A9F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BF77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F7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F77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c.europa.eu/growth/industry/strategy/hydrogen_s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.europa.eu/info/files/commission-staff-working-document-building-european-research-area-clean-hydrogen_s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2022-01-25T11:55:00Z</dcterms:created>
  <dcterms:modified xsi:type="dcterms:W3CDTF">2022-01-25T12:20:00Z</dcterms:modified>
</cp:coreProperties>
</file>