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D45" w:rsidRDefault="00475D45" w:rsidP="00475D45">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75D45" w:rsidRDefault="00475D45" w:rsidP="00475D45">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475D45" w:rsidRDefault="00475D45" w:rsidP="00475D45">
      <w:pPr>
        <w:pBdr>
          <w:bottom w:val="single" w:sz="6" w:space="1" w:color="auto"/>
        </w:pBdr>
        <w:tabs>
          <w:tab w:val="left" w:pos="3120"/>
        </w:tabs>
        <w:jc w:val="center"/>
        <w:rPr>
          <w:sz w:val="16"/>
          <w:szCs w:val="16"/>
        </w:rPr>
      </w:pPr>
    </w:p>
    <w:p w:rsidR="00475D45" w:rsidRDefault="00475D45" w:rsidP="006078BD">
      <w:pPr>
        <w:tabs>
          <w:tab w:val="left" w:pos="3120"/>
        </w:tabs>
        <w:rPr>
          <w:rFonts w:ascii="Arial" w:hAnsi="Arial" w:cs="Arial"/>
          <w:b/>
        </w:rPr>
      </w:pPr>
    </w:p>
    <w:p w:rsidR="00475D45" w:rsidRPr="002C6815" w:rsidRDefault="00475D45" w:rsidP="00475D45">
      <w:pPr>
        <w:tabs>
          <w:tab w:val="left" w:pos="3120"/>
        </w:tabs>
        <w:jc w:val="center"/>
        <w:rPr>
          <w:rFonts w:ascii="Arial" w:hAnsi="Arial" w:cs="Arial"/>
          <w:b/>
        </w:rPr>
      </w:pPr>
      <w:r>
        <w:rPr>
          <w:rFonts w:ascii="Arial" w:hAnsi="Arial" w:cs="Arial"/>
          <w:b/>
        </w:rPr>
        <w:t>Občasna informacija članom 18</w:t>
      </w:r>
      <w:r w:rsidRPr="002C6815">
        <w:rPr>
          <w:rFonts w:ascii="Arial" w:hAnsi="Arial" w:cs="Arial"/>
          <w:b/>
        </w:rPr>
        <w:t xml:space="preserve"> – 2017</w:t>
      </w:r>
    </w:p>
    <w:p w:rsidR="00475D45" w:rsidRPr="002C6815" w:rsidRDefault="00475D45" w:rsidP="00475D45">
      <w:pPr>
        <w:tabs>
          <w:tab w:val="left" w:pos="3120"/>
        </w:tabs>
        <w:jc w:val="center"/>
        <w:rPr>
          <w:rFonts w:ascii="Arial" w:hAnsi="Arial" w:cs="Arial"/>
          <w:b/>
        </w:rPr>
      </w:pPr>
      <w:r w:rsidRPr="002C6815">
        <w:rPr>
          <w:rFonts w:ascii="Arial" w:hAnsi="Arial" w:cs="Arial"/>
          <w:b/>
        </w:rPr>
        <w:t>30. januar 2017</w:t>
      </w:r>
    </w:p>
    <w:p w:rsidR="00475D45" w:rsidRDefault="003F7ABF" w:rsidP="00475D45">
      <w:pPr>
        <w:jc w:val="center"/>
        <w:rPr>
          <w:rFonts w:ascii="Arial" w:hAnsi="Arial" w:cs="Arial"/>
          <w:b/>
          <w:i/>
        </w:rPr>
      </w:pPr>
      <w:r>
        <w:rPr>
          <w:rFonts w:ascii="Arial" w:hAnsi="Arial" w:cs="Arial"/>
          <w:b/>
          <w:color w:val="993300"/>
          <w:sz w:val="32"/>
          <w:szCs w:val="32"/>
        </w:rPr>
        <w:t>Konferenca o krožnem gospodarstvu in objava platforme deležnikov za krožno gospodarstvo</w:t>
      </w:r>
    </w:p>
    <w:p w:rsidR="003F7ABF" w:rsidRPr="00EC195B" w:rsidRDefault="00EC195B" w:rsidP="003F7ABF">
      <w:pPr>
        <w:rPr>
          <w:rFonts w:ascii="Arial" w:hAnsi="Arial" w:cs="Arial"/>
          <w:b/>
          <w:i/>
        </w:rPr>
      </w:pPr>
      <w:r w:rsidRPr="00EC195B">
        <w:rPr>
          <w:rFonts w:ascii="Arial" w:hAnsi="Arial" w:cs="Arial"/>
          <w:b/>
          <w:i/>
        </w:rPr>
        <w:t xml:space="preserve">Evropska komisija je skupaj z Evropsko investicijsko banko (EIB) sprejela nadaljnje ukrepe za vzpostavitev platforme za podporo financiranju krožnega gospodarstva. Za razpravo z deležniki o prihodnjih ciljih na področju krožnega gospodarstva Evropska komisija in Evropski ekonomsko-socialni odbor 9. in 10. marca organizirata konferenco o krožnem gospodarstvu. Ob tej priložnosti bo objavljena tudi platforma deležnikov za krožno gospodarstvo. Za udeležbo na konferenci se je treba prijaviti do 3. februarja. </w:t>
      </w:r>
      <w:r w:rsidRPr="00EC195B">
        <w:rPr>
          <w:rFonts w:ascii="Arial" w:hAnsi="Arial" w:cs="Arial"/>
          <w:b/>
          <w:bCs/>
          <w:i/>
        </w:rPr>
        <w:t>Evropska komisija</w:t>
      </w:r>
      <w:r w:rsidRPr="00EC195B">
        <w:rPr>
          <w:rFonts w:ascii="Arial" w:hAnsi="Arial" w:cs="Arial"/>
          <w:b/>
          <w:i/>
        </w:rPr>
        <w:t xml:space="preserve"> je </w:t>
      </w:r>
      <w:r w:rsidRPr="00EC195B">
        <w:rPr>
          <w:rFonts w:ascii="Arial" w:hAnsi="Arial" w:cs="Arial"/>
          <w:b/>
          <w:bCs/>
          <w:i/>
        </w:rPr>
        <w:t>sprejela še poročilo o rezultatih in napredku ključnih pobud iz akcijskega načrta ukrepov za krožno gospodarstvo iz leta 2015</w:t>
      </w:r>
      <w:r w:rsidR="003F7ABF" w:rsidRPr="00EC195B">
        <w:rPr>
          <w:rFonts w:ascii="Arial" w:hAnsi="Arial" w:cs="Arial"/>
          <w:b/>
          <w:i/>
        </w:rPr>
        <w:t>.</w:t>
      </w:r>
    </w:p>
    <w:p w:rsidR="000E1EFD" w:rsidRPr="006078BD" w:rsidRDefault="001352FA" w:rsidP="003F7ABF">
      <w:pPr>
        <w:rPr>
          <w:rFonts w:ascii="Arial" w:hAnsi="Arial" w:cs="Arial"/>
          <w:sz w:val="20"/>
          <w:szCs w:val="20"/>
        </w:rPr>
      </w:pPr>
      <w:r w:rsidRPr="006078BD">
        <w:rPr>
          <w:rFonts w:ascii="Arial" w:hAnsi="Arial" w:cs="Arial"/>
          <w:sz w:val="20"/>
          <w:szCs w:val="20"/>
        </w:rPr>
        <w:t xml:space="preserve">Na podlagi naložbenega načrta za Evropo bo platforma za podporo financiranju krožnega gospodarstva okrepila povezavo med obstoječimi instrumenti, morebiti pa bo tudi razvila nove finančne instrumente za projekte krožnega gospodarstva. </w:t>
      </w:r>
      <w:r w:rsidR="000E1EFD" w:rsidRPr="006078BD">
        <w:rPr>
          <w:rFonts w:ascii="Arial" w:hAnsi="Arial" w:cs="Arial"/>
          <w:sz w:val="20"/>
          <w:szCs w:val="20"/>
        </w:rPr>
        <w:t xml:space="preserve">Obenem je </w:t>
      </w:r>
      <w:r w:rsidRPr="006078BD">
        <w:rPr>
          <w:rFonts w:ascii="Arial" w:hAnsi="Arial" w:cs="Arial"/>
          <w:sz w:val="20"/>
          <w:szCs w:val="20"/>
        </w:rPr>
        <w:t xml:space="preserve">Komisija </w:t>
      </w:r>
      <w:r w:rsidR="000E1EFD" w:rsidRPr="006078BD">
        <w:rPr>
          <w:rFonts w:ascii="Arial" w:hAnsi="Arial" w:cs="Arial"/>
          <w:sz w:val="20"/>
          <w:szCs w:val="20"/>
        </w:rPr>
        <w:t>izdala smernice, namenjene državam članicam, glede predelave energije iz odpadkov ter predlagala ciljno usmerjeno izboljšanje zakonodaje o nekaterih nevarnih snoveh v električni in elektronski opremi.</w:t>
      </w:r>
      <w:r w:rsidRPr="006078BD">
        <w:rPr>
          <w:rFonts w:ascii="Arial" w:hAnsi="Arial" w:cs="Arial"/>
          <w:sz w:val="20"/>
          <w:szCs w:val="20"/>
        </w:rPr>
        <w:t xml:space="preserve"> </w:t>
      </w:r>
    </w:p>
    <w:p w:rsidR="000E1EFD" w:rsidRPr="006078BD" w:rsidRDefault="000E1EFD" w:rsidP="003F7ABF">
      <w:pPr>
        <w:rPr>
          <w:rFonts w:ascii="Arial" w:hAnsi="Arial" w:cs="Arial"/>
          <w:b/>
          <w:sz w:val="20"/>
          <w:szCs w:val="20"/>
        </w:rPr>
      </w:pPr>
      <w:r w:rsidRPr="006078BD">
        <w:rPr>
          <w:rFonts w:ascii="Arial" w:hAnsi="Arial" w:cs="Arial"/>
          <w:b/>
          <w:sz w:val="20"/>
          <w:szCs w:val="20"/>
        </w:rPr>
        <w:t> </w:t>
      </w:r>
      <w:r w:rsidR="001352FA" w:rsidRPr="006078BD">
        <w:rPr>
          <w:rFonts w:ascii="Arial" w:hAnsi="Arial" w:cs="Arial"/>
          <w:b/>
          <w:sz w:val="20"/>
          <w:szCs w:val="20"/>
        </w:rPr>
        <w:t>Plat</w:t>
      </w:r>
      <w:r w:rsidR="003F7ABF" w:rsidRPr="006078BD">
        <w:rPr>
          <w:rFonts w:ascii="Arial" w:hAnsi="Arial" w:cs="Arial"/>
          <w:b/>
          <w:sz w:val="20"/>
          <w:szCs w:val="20"/>
        </w:rPr>
        <w:t>forma za podporo financiranju k</w:t>
      </w:r>
      <w:r w:rsidR="001352FA" w:rsidRPr="006078BD">
        <w:rPr>
          <w:rFonts w:ascii="Arial" w:hAnsi="Arial" w:cs="Arial"/>
          <w:b/>
          <w:sz w:val="20"/>
          <w:szCs w:val="20"/>
        </w:rPr>
        <w:t>rožnega gospodarstva</w:t>
      </w:r>
    </w:p>
    <w:p w:rsidR="001352FA" w:rsidRPr="006078BD" w:rsidRDefault="000E1EFD" w:rsidP="003F7ABF">
      <w:pPr>
        <w:rPr>
          <w:rFonts w:ascii="Arial" w:hAnsi="Arial" w:cs="Arial"/>
          <w:sz w:val="20"/>
          <w:szCs w:val="20"/>
        </w:rPr>
      </w:pPr>
      <w:r w:rsidRPr="006078BD">
        <w:rPr>
          <w:rFonts w:ascii="Arial" w:hAnsi="Arial" w:cs="Arial"/>
          <w:sz w:val="20"/>
          <w:szCs w:val="20"/>
        </w:rPr>
        <w:t xml:space="preserve">Na podlagi naložbenega načrta za Evropo </w:t>
      </w:r>
      <w:r w:rsidR="001352FA" w:rsidRPr="006078BD">
        <w:rPr>
          <w:rFonts w:ascii="Arial" w:hAnsi="Arial" w:cs="Arial"/>
          <w:sz w:val="20"/>
          <w:szCs w:val="20"/>
        </w:rPr>
        <w:t>naj bi</w:t>
      </w:r>
      <w:r w:rsidRPr="006078BD">
        <w:rPr>
          <w:rFonts w:ascii="Arial" w:hAnsi="Arial" w:cs="Arial"/>
          <w:sz w:val="20"/>
          <w:szCs w:val="20"/>
        </w:rPr>
        <w:t xml:space="preserve"> platforma za podporo financiranju krožnega gospodarstva okrepila povezavo med obstoječimi instrumenti, kot sta Evropski sklad za strateške naložbe (EFSI) in pobuda </w:t>
      </w:r>
      <w:proofErr w:type="spellStart"/>
      <w:r w:rsidRPr="006078BD">
        <w:rPr>
          <w:rFonts w:ascii="Arial" w:hAnsi="Arial" w:cs="Arial"/>
          <w:sz w:val="20"/>
          <w:szCs w:val="20"/>
        </w:rPr>
        <w:t>InnovFin</w:t>
      </w:r>
      <w:proofErr w:type="spellEnd"/>
      <w:r w:rsidRPr="006078BD">
        <w:rPr>
          <w:rFonts w:ascii="Arial" w:hAnsi="Arial" w:cs="Arial"/>
          <w:sz w:val="20"/>
          <w:szCs w:val="20"/>
        </w:rPr>
        <w:t xml:space="preserve"> – finančna sredstva EU za inovatorje, ki ima podporo v programu Obzorje 2020, morebiti </w:t>
      </w:r>
      <w:r w:rsidR="001352FA" w:rsidRPr="006078BD">
        <w:rPr>
          <w:rFonts w:ascii="Arial" w:hAnsi="Arial" w:cs="Arial"/>
          <w:sz w:val="20"/>
          <w:szCs w:val="20"/>
        </w:rPr>
        <w:t>bo</w:t>
      </w:r>
      <w:r w:rsidRPr="006078BD">
        <w:rPr>
          <w:rFonts w:ascii="Arial" w:hAnsi="Arial" w:cs="Arial"/>
          <w:sz w:val="20"/>
          <w:szCs w:val="20"/>
        </w:rPr>
        <w:t xml:space="preserve"> razvila </w:t>
      </w:r>
      <w:r w:rsidR="001352FA" w:rsidRPr="006078BD">
        <w:rPr>
          <w:rFonts w:ascii="Arial" w:hAnsi="Arial" w:cs="Arial"/>
          <w:sz w:val="20"/>
          <w:szCs w:val="20"/>
        </w:rPr>
        <w:t xml:space="preserve">tudi </w:t>
      </w:r>
      <w:r w:rsidRPr="006078BD">
        <w:rPr>
          <w:rFonts w:ascii="Arial" w:hAnsi="Arial" w:cs="Arial"/>
          <w:sz w:val="20"/>
          <w:szCs w:val="20"/>
        </w:rPr>
        <w:t xml:space="preserve">nove finančne instrumente za projekte krožnega gospodarstva. </w:t>
      </w:r>
    </w:p>
    <w:p w:rsidR="000E1EFD" w:rsidRPr="006078BD" w:rsidRDefault="000E1EFD" w:rsidP="003F7ABF">
      <w:pPr>
        <w:rPr>
          <w:rFonts w:ascii="Arial" w:hAnsi="Arial" w:cs="Arial"/>
          <w:sz w:val="20"/>
          <w:szCs w:val="20"/>
        </w:rPr>
      </w:pPr>
      <w:r w:rsidRPr="006078BD">
        <w:rPr>
          <w:rFonts w:ascii="Arial" w:hAnsi="Arial" w:cs="Arial"/>
          <w:sz w:val="20"/>
          <w:szCs w:val="20"/>
        </w:rPr>
        <w:t xml:space="preserve">Platforma </w:t>
      </w:r>
      <w:r w:rsidR="001352FA" w:rsidRPr="006078BD">
        <w:rPr>
          <w:rFonts w:ascii="Arial" w:hAnsi="Arial" w:cs="Arial"/>
          <w:sz w:val="20"/>
          <w:szCs w:val="20"/>
        </w:rPr>
        <w:t>naj bi</w:t>
      </w:r>
      <w:r w:rsidRPr="006078BD">
        <w:rPr>
          <w:rFonts w:ascii="Arial" w:hAnsi="Arial" w:cs="Arial"/>
          <w:sz w:val="20"/>
          <w:szCs w:val="20"/>
        </w:rPr>
        <w:t xml:space="preserve"> povezala Komisijo, EIB, nacionalne spodbujevalne banke, institucionalne vlagatelje ter druge deležnike, poleg tega </w:t>
      </w:r>
      <w:r w:rsidR="001352FA" w:rsidRPr="006078BD">
        <w:rPr>
          <w:rFonts w:ascii="Arial" w:hAnsi="Arial" w:cs="Arial"/>
          <w:sz w:val="20"/>
          <w:szCs w:val="20"/>
        </w:rPr>
        <w:t>naj bi</w:t>
      </w:r>
      <w:r w:rsidRPr="006078BD">
        <w:rPr>
          <w:rFonts w:ascii="Arial" w:hAnsi="Arial" w:cs="Arial"/>
          <w:sz w:val="20"/>
          <w:szCs w:val="20"/>
        </w:rPr>
        <w:t xml:space="preserve"> spodbujala najboljše prakse med potencialnimi spodbujevalci projektov, saj </w:t>
      </w:r>
      <w:r w:rsidR="001352FA" w:rsidRPr="006078BD">
        <w:rPr>
          <w:rFonts w:ascii="Arial" w:hAnsi="Arial" w:cs="Arial"/>
          <w:sz w:val="20"/>
          <w:szCs w:val="20"/>
        </w:rPr>
        <w:t>naj bi</w:t>
      </w:r>
      <w:r w:rsidRPr="006078BD">
        <w:rPr>
          <w:rFonts w:ascii="Arial" w:hAnsi="Arial" w:cs="Arial"/>
          <w:sz w:val="20"/>
          <w:szCs w:val="20"/>
        </w:rPr>
        <w:t xml:space="preserve"> omogočala analizo projektov in finančnih potreb ter svetovanje o strukturiranju in dobičkonosnosti.</w:t>
      </w:r>
    </w:p>
    <w:p w:rsidR="001352FA" w:rsidRPr="006078BD" w:rsidRDefault="001352FA" w:rsidP="003F7ABF">
      <w:pPr>
        <w:rPr>
          <w:rFonts w:ascii="Arial" w:hAnsi="Arial" w:cs="Arial"/>
          <w:b/>
          <w:sz w:val="20"/>
          <w:szCs w:val="20"/>
        </w:rPr>
      </w:pPr>
      <w:r w:rsidRPr="006078BD">
        <w:rPr>
          <w:rFonts w:ascii="Arial" w:hAnsi="Arial" w:cs="Arial"/>
          <w:b/>
          <w:sz w:val="20"/>
          <w:szCs w:val="20"/>
        </w:rPr>
        <w:t>Sporočilo o vlogi procesov za pridobivanje energije iz odpadkov v krožnem gospodarstvu</w:t>
      </w:r>
    </w:p>
    <w:p w:rsidR="001352FA" w:rsidRPr="006078BD" w:rsidRDefault="001352FA" w:rsidP="003F7ABF">
      <w:pPr>
        <w:rPr>
          <w:rFonts w:ascii="Arial" w:hAnsi="Arial" w:cs="Arial"/>
          <w:sz w:val="20"/>
          <w:szCs w:val="20"/>
        </w:rPr>
      </w:pPr>
      <w:r w:rsidRPr="006078BD">
        <w:rPr>
          <w:rFonts w:ascii="Arial" w:hAnsi="Arial" w:cs="Arial"/>
          <w:sz w:val="20"/>
          <w:szCs w:val="20"/>
        </w:rPr>
        <w:t>S sporočilom o vlogi procesov za pridobivanje energije iz odpadkov v krožnem gospodarstvu Evropska komisija državam članicam pošilja smernice za doseganje pravega ravnovesja zmogljivosti pridobivanja energije iz odpadkov in poudarja vlogo hierarhije ravnanja z odpadki, znotraj katere so razvrščene možnosti ravnanja z odpadki glede na njihovo trajnost, obenem pa daje največjo prednost preprečevanju nastajanja odpadkov in njihovemu recikliranju.</w:t>
      </w:r>
    </w:p>
    <w:p w:rsidR="000E1EFD" w:rsidRPr="006078BD" w:rsidRDefault="001352FA" w:rsidP="003F7ABF">
      <w:pPr>
        <w:rPr>
          <w:rFonts w:ascii="Arial" w:hAnsi="Arial" w:cs="Arial"/>
          <w:b/>
          <w:sz w:val="20"/>
          <w:szCs w:val="20"/>
        </w:rPr>
      </w:pPr>
      <w:r w:rsidRPr="006078BD">
        <w:rPr>
          <w:rFonts w:ascii="Arial" w:hAnsi="Arial" w:cs="Arial"/>
          <w:b/>
          <w:sz w:val="20"/>
          <w:szCs w:val="20"/>
        </w:rPr>
        <w:lastRenderedPageBreak/>
        <w:t>Predlog za posodobitev zakonodaje o omejevanju uporabe nekaterih nevarnih snovi v električni in elektronski opremi</w:t>
      </w:r>
      <w:r w:rsidR="000E1EFD" w:rsidRPr="006078BD">
        <w:rPr>
          <w:rFonts w:ascii="Arial" w:hAnsi="Arial" w:cs="Arial"/>
          <w:b/>
          <w:sz w:val="20"/>
          <w:szCs w:val="20"/>
        </w:rPr>
        <w:t> </w:t>
      </w:r>
    </w:p>
    <w:p w:rsidR="001352FA" w:rsidRDefault="001352FA" w:rsidP="003F7ABF">
      <w:pPr>
        <w:rPr>
          <w:rFonts w:ascii="Arial" w:hAnsi="Arial" w:cs="Arial"/>
          <w:sz w:val="20"/>
          <w:szCs w:val="20"/>
        </w:rPr>
      </w:pPr>
      <w:r w:rsidRPr="006078BD">
        <w:rPr>
          <w:rFonts w:ascii="Arial" w:hAnsi="Arial" w:cs="Arial"/>
          <w:sz w:val="20"/>
          <w:szCs w:val="20"/>
        </w:rPr>
        <w:t>Predlog je mišljen kot spodbuda k zamenjavi nevarnih materialov, da bi recikliranje sestavnih delov postalo bolj dobičkonosno. Predlagane spremembe naj bi dodatno olajšale dejavnosti na trgu rabljenih materialov (npr. preprodaja) ter popravila električne in elektronske opreme. Ukrepi naj bi po nekaterih ocenah preprečili nastanek več kot 3 000 ton nevarnih odpadkov na leto v EU ter omogočili prihranek energije in surovin. Samo v zdravstvenem sektorju bi lahko prihranili 170 milijonov evrov.</w:t>
      </w:r>
    </w:p>
    <w:p w:rsidR="00633C49" w:rsidRPr="00633C49" w:rsidRDefault="00633C49" w:rsidP="00633C49">
      <w:pPr>
        <w:rPr>
          <w:rFonts w:ascii="Arial" w:hAnsi="Arial" w:cs="Arial"/>
          <w:b/>
          <w:sz w:val="20"/>
          <w:szCs w:val="20"/>
        </w:rPr>
      </w:pPr>
      <w:r w:rsidRPr="00633C49">
        <w:rPr>
          <w:rFonts w:ascii="Arial" w:hAnsi="Arial" w:cs="Arial"/>
          <w:b/>
          <w:sz w:val="20"/>
          <w:szCs w:val="20"/>
        </w:rPr>
        <w:t>Poročilo o rezultatih in napredku ključnih pobud iz akcijskega načrta ukrepov za krožno gospodarstvo v letu 2015</w:t>
      </w:r>
    </w:p>
    <w:p w:rsidR="00633C49" w:rsidRPr="00633C49" w:rsidRDefault="00633C49" w:rsidP="00633C49">
      <w:pPr>
        <w:rPr>
          <w:rFonts w:ascii="Arial" w:hAnsi="Arial" w:cs="Arial"/>
          <w:sz w:val="20"/>
          <w:szCs w:val="20"/>
        </w:rPr>
      </w:pPr>
      <w:r w:rsidRPr="00633C49">
        <w:rPr>
          <w:rFonts w:ascii="Arial" w:hAnsi="Arial" w:cs="Arial"/>
          <w:sz w:val="20"/>
          <w:szCs w:val="20"/>
        </w:rPr>
        <w:t>Evropska komisija je sprejela poročilo o rezultatih in napredku ključnih pobud iz akcijskega načrta ukrepov za krožno gospodarstvo iz leta 2015. V poročilu Komisija navaja ključne ukrepe, ki so bili sprejeti na področjih, kot so odpadki, okoljsko primerna zasnova, zavržki hrane, organska gnojila, garancije za potrošniško blago ter inovacije in naložbe. V letošnjem letu Komisija načrtuje sprejem strategije o plastiki, okvira za spremljanje krožnega gospodarstva in predloga za spodbujanje ponovne uporabe vode.</w:t>
      </w:r>
    </w:p>
    <w:p w:rsidR="00A46DAE" w:rsidRPr="006078BD" w:rsidRDefault="00A46DAE" w:rsidP="003F7ABF">
      <w:pPr>
        <w:rPr>
          <w:rFonts w:ascii="Arial" w:hAnsi="Arial" w:cs="Arial"/>
          <w:b/>
          <w:sz w:val="20"/>
          <w:szCs w:val="20"/>
        </w:rPr>
      </w:pPr>
      <w:r w:rsidRPr="006078BD">
        <w:rPr>
          <w:rFonts w:ascii="Arial" w:hAnsi="Arial" w:cs="Arial"/>
          <w:b/>
          <w:sz w:val="20"/>
          <w:szCs w:val="20"/>
        </w:rPr>
        <w:t>Koristne informacije:</w:t>
      </w:r>
    </w:p>
    <w:p w:rsidR="00A46DAE" w:rsidRPr="006078BD" w:rsidRDefault="003F7ABF" w:rsidP="006078BD">
      <w:pPr>
        <w:pStyle w:val="Odstavekseznama"/>
        <w:numPr>
          <w:ilvl w:val="0"/>
          <w:numId w:val="2"/>
        </w:numPr>
        <w:rPr>
          <w:rFonts w:ascii="Arial" w:hAnsi="Arial" w:cs="Arial"/>
          <w:sz w:val="20"/>
          <w:szCs w:val="20"/>
        </w:rPr>
      </w:pPr>
      <w:r w:rsidRPr="006078BD">
        <w:rPr>
          <w:rFonts w:ascii="Arial" w:hAnsi="Arial" w:cs="Arial"/>
          <w:sz w:val="20"/>
          <w:szCs w:val="20"/>
        </w:rPr>
        <w:t>Sporočilo o pridobivanju energije iz odpadkov</w:t>
      </w:r>
      <w:r w:rsidR="00A46DAE" w:rsidRPr="006078BD">
        <w:rPr>
          <w:rFonts w:ascii="Arial" w:hAnsi="Arial" w:cs="Arial"/>
          <w:sz w:val="20"/>
          <w:szCs w:val="20"/>
        </w:rPr>
        <w:t>:</w:t>
      </w:r>
    </w:p>
    <w:p w:rsidR="006078BD" w:rsidRDefault="00100E6F" w:rsidP="006078BD">
      <w:pPr>
        <w:pStyle w:val="Odstavekseznama"/>
        <w:numPr>
          <w:ilvl w:val="0"/>
          <w:numId w:val="2"/>
        </w:numPr>
        <w:rPr>
          <w:rFonts w:ascii="Arial" w:hAnsi="Arial" w:cs="Arial"/>
          <w:sz w:val="20"/>
          <w:szCs w:val="20"/>
        </w:rPr>
      </w:pPr>
      <w:hyperlink r:id="rId6" w:history="1">
        <w:r w:rsidR="003F7ABF" w:rsidRPr="006078BD">
          <w:rPr>
            <w:rStyle w:val="Hiperpovezava"/>
            <w:rFonts w:ascii="Arial" w:hAnsi="Arial" w:cs="Arial"/>
            <w:sz w:val="20"/>
            <w:szCs w:val="20"/>
          </w:rPr>
          <w:t>http://ec.europa.eu/environment/waste/waste-to-energy.pdf</w:t>
        </w:r>
      </w:hyperlink>
      <w:r w:rsidR="003F7ABF" w:rsidRPr="006078BD">
        <w:rPr>
          <w:rFonts w:ascii="Arial" w:hAnsi="Arial" w:cs="Arial"/>
          <w:sz w:val="20"/>
          <w:szCs w:val="20"/>
        </w:rPr>
        <w:t xml:space="preserve"> </w:t>
      </w:r>
    </w:p>
    <w:p w:rsidR="006078BD" w:rsidRPr="006078BD" w:rsidRDefault="006078BD" w:rsidP="006078BD">
      <w:pPr>
        <w:pStyle w:val="Odstavekseznama"/>
        <w:rPr>
          <w:rFonts w:ascii="Arial" w:hAnsi="Arial" w:cs="Arial"/>
          <w:sz w:val="20"/>
          <w:szCs w:val="20"/>
        </w:rPr>
      </w:pPr>
    </w:p>
    <w:p w:rsidR="003F7ABF" w:rsidRPr="006078BD" w:rsidRDefault="003F7ABF" w:rsidP="006078BD">
      <w:pPr>
        <w:pStyle w:val="Odstavekseznama"/>
        <w:numPr>
          <w:ilvl w:val="0"/>
          <w:numId w:val="2"/>
        </w:numPr>
        <w:rPr>
          <w:rFonts w:ascii="Arial" w:hAnsi="Arial" w:cs="Arial"/>
          <w:sz w:val="20"/>
          <w:szCs w:val="20"/>
        </w:rPr>
      </w:pPr>
      <w:r w:rsidRPr="006078BD">
        <w:rPr>
          <w:rFonts w:ascii="Arial" w:hAnsi="Arial" w:cs="Arial"/>
          <w:sz w:val="20"/>
          <w:szCs w:val="20"/>
        </w:rPr>
        <w:t>Konferenca o krožnem gospodarstvu:</w:t>
      </w:r>
    </w:p>
    <w:p w:rsidR="003F7ABF" w:rsidRDefault="00100E6F" w:rsidP="006078BD">
      <w:pPr>
        <w:pStyle w:val="Odstavekseznama"/>
        <w:numPr>
          <w:ilvl w:val="0"/>
          <w:numId w:val="2"/>
        </w:numPr>
        <w:rPr>
          <w:rFonts w:ascii="Arial" w:hAnsi="Arial" w:cs="Arial"/>
          <w:sz w:val="20"/>
          <w:szCs w:val="20"/>
        </w:rPr>
      </w:pPr>
      <w:hyperlink r:id="rId7" w:history="1">
        <w:r w:rsidR="003F7ABF" w:rsidRPr="006078BD">
          <w:rPr>
            <w:rStyle w:val="Hiperpovezava"/>
            <w:rFonts w:ascii="Arial" w:hAnsi="Arial" w:cs="Arial"/>
            <w:sz w:val="20"/>
            <w:szCs w:val="20"/>
          </w:rPr>
          <w:t>http://ec.europa.eu/environment/circular-economy/pdf/stakeholder_conference_agenda.pdf</w:t>
        </w:r>
      </w:hyperlink>
      <w:r w:rsidR="003F7ABF" w:rsidRPr="006078BD">
        <w:rPr>
          <w:rFonts w:ascii="Arial" w:hAnsi="Arial" w:cs="Arial"/>
          <w:sz w:val="20"/>
          <w:szCs w:val="20"/>
        </w:rPr>
        <w:t xml:space="preserve"> </w:t>
      </w:r>
    </w:p>
    <w:p w:rsidR="006078BD" w:rsidRPr="006078BD" w:rsidRDefault="006078BD" w:rsidP="006078BD">
      <w:pPr>
        <w:pStyle w:val="Odstavekseznama"/>
        <w:rPr>
          <w:rFonts w:ascii="Arial" w:hAnsi="Arial" w:cs="Arial"/>
          <w:sz w:val="20"/>
          <w:szCs w:val="20"/>
        </w:rPr>
      </w:pPr>
    </w:p>
    <w:p w:rsidR="003F7ABF" w:rsidRPr="006078BD" w:rsidRDefault="003F7ABF" w:rsidP="006078BD">
      <w:pPr>
        <w:pStyle w:val="Odstavekseznama"/>
        <w:numPr>
          <w:ilvl w:val="0"/>
          <w:numId w:val="2"/>
        </w:numPr>
        <w:rPr>
          <w:rFonts w:ascii="Arial" w:hAnsi="Arial" w:cs="Arial"/>
          <w:sz w:val="20"/>
          <w:szCs w:val="20"/>
        </w:rPr>
      </w:pPr>
      <w:r w:rsidRPr="006078BD">
        <w:rPr>
          <w:rFonts w:ascii="Arial" w:hAnsi="Arial" w:cs="Arial"/>
          <w:sz w:val="20"/>
          <w:szCs w:val="20"/>
        </w:rPr>
        <w:t>Predlog za dopolnitev direktive o omejevanju uporabe nekaterih snovi v električni in elektronski opremi:</w:t>
      </w:r>
    </w:p>
    <w:p w:rsidR="00633C49" w:rsidRPr="00633C49" w:rsidRDefault="00100E6F" w:rsidP="006078BD">
      <w:pPr>
        <w:pStyle w:val="Odstavekseznama"/>
        <w:numPr>
          <w:ilvl w:val="0"/>
          <w:numId w:val="2"/>
        </w:numPr>
        <w:rPr>
          <w:rFonts w:ascii="Arial" w:hAnsi="Arial" w:cs="Arial"/>
          <w:sz w:val="20"/>
          <w:szCs w:val="20"/>
        </w:rPr>
      </w:pPr>
      <w:hyperlink r:id="rId8" w:history="1">
        <w:r w:rsidR="003F7ABF" w:rsidRPr="006078BD">
          <w:rPr>
            <w:rStyle w:val="Hiperpovezava"/>
            <w:rFonts w:ascii="Arial" w:hAnsi="Arial" w:cs="Arial"/>
            <w:sz w:val="20"/>
            <w:szCs w:val="20"/>
          </w:rPr>
          <w:t>http://ec.europa.eu/environment/waste/rohs_eee/pdf/update_legislation.pdf</w:t>
        </w:r>
      </w:hyperlink>
    </w:p>
    <w:p w:rsidR="00633C49" w:rsidRPr="00633C49" w:rsidRDefault="00633C49" w:rsidP="00633C49">
      <w:pPr>
        <w:pStyle w:val="Odstavekseznama"/>
        <w:rPr>
          <w:rFonts w:ascii="Arial" w:hAnsi="Arial" w:cs="Arial"/>
          <w:sz w:val="20"/>
          <w:szCs w:val="20"/>
        </w:rPr>
      </w:pPr>
    </w:p>
    <w:p w:rsidR="00633C49" w:rsidRPr="00633C49" w:rsidRDefault="00633C49" w:rsidP="006078BD">
      <w:pPr>
        <w:pStyle w:val="Odstavekseznama"/>
        <w:numPr>
          <w:ilvl w:val="0"/>
          <w:numId w:val="2"/>
        </w:numPr>
        <w:rPr>
          <w:rFonts w:ascii="Arial" w:hAnsi="Arial" w:cs="Arial"/>
          <w:sz w:val="20"/>
          <w:szCs w:val="20"/>
        </w:rPr>
      </w:pPr>
      <w:r>
        <w:t>Poročilo o ukrepih na področju krožnega gospodarstva v letu 2015:</w:t>
      </w:r>
    </w:p>
    <w:p w:rsidR="003F7ABF" w:rsidRPr="00633C49" w:rsidRDefault="00633C49" w:rsidP="00633C49">
      <w:pPr>
        <w:pStyle w:val="Odstavekseznama"/>
        <w:numPr>
          <w:ilvl w:val="0"/>
          <w:numId w:val="2"/>
        </w:numPr>
        <w:rPr>
          <w:rFonts w:ascii="Arial" w:hAnsi="Arial" w:cs="Arial"/>
          <w:sz w:val="20"/>
          <w:szCs w:val="20"/>
        </w:rPr>
      </w:pPr>
      <w:hyperlink r:id="rId9" w:history="1">
        <w:r w:rsidRPr="00A37DC5">
          <w:rPr>
            <w:rStyle w:val="Hiperpovezava"/>
            <w:rFonts w:ascii="Arial" w:hAnsi="Arial" w:cs="Arial"/>
            <w:sz w:val="20"/>
            <w:szCs w:val="20"/>
          </w:rPr>
          <w:t>http://ec.europa.eu/environment/circular-economy/implementation_report.pdf</w:t>
        </w:r>
      </w:hyperlink>
      <w:r w:rsidR="003F7ABF" w:rsidRPr="00633C49">
        <w:rPr>
          <w:rFonts w:ascii="Arial" w:hAnsi="Arial" w:cs="Arial"/>
          <w:sz w:val="20"/>
          <w:szCs w:val="20"/>
        </w:rPr>
        <w:t xml:space="preserve"> </w:t>
      </w:r>
    </w:p>
    <w:p w:rsidR="00A46DAE" w:rsidRPr="006078BD" w:rsidRDefault="00A46DAE" w:rsidP="003F7ABF">
      <w:pPr>
        <w:rPr>
          <w:rFonts w:ascii="Arial" w:hAnsi="Arial" w:cs="Arial"/>
          <w:sz w:val="20"/>
          <w:szCs w:val="20"/>
        </w:rPr>
      </w:pPr>
      <w:r w:rsidRPr="006078BD">
        <w:rPr>
          <w:rFonts w:ascii="Arial" w:hAnsi="Arial" w:cs="Arial"/>
          <w:sz w:val="20"/>
          <w:szCs w:val="20"/>
        </w:rPr>
        <w:t>Pripravila:</w:t>
      </w:r>
    </w:p>
    <w:p w:rsidR="00A46DAE" w:rsidRPr="006078BD" w:rsidRDefault="00A46DAE" w:rsidP="003F7ABF">
      <w:pPr>
        <w:rPr>
          <w:rFonts w:ascii="Arial" w:hAnsi="Arial" w:cs="Arial"/>
          <w:sz w:val="20"/>
          <w:szCs w:val="20"/>
        </w:rPr>
      </w:pPr>
      <w:r w:rsidRPr="006078BD">
        <w:rPr>
          <w:rFonts w:ascii="Arial" w:hAnsi="Arial" w:cs="Arial"/>
          <w:sz w:val="20"/>
          <w:szCs w:val="20"/>
        </w:rPr>
        <w:t>Darja Kocbek</w:t>
      </w:r>
    </w:p>
    <w:sectPr w:rsidR="00A46DAE" w:rsidRPr="006078BD"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310EE"/>
    <w:multiLevelType w:val="hybridMultilevel"/>
    <w:tmpl w:val="700AC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45970550"/>
    <w:multiLevelType w:val="hybridMultilevel"/>
    <w:tmpl w:val="157E03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2DEB"/>
    <w:rsid w:val="0000101E"/>
    <w:rsid w:val="0001413D"/>
    <w:rsid w:val="000E1EFD"/>
    <w:rsid w:val="00100E6F"/>
    <w:rsid w:val="001352FA"/>
    <w:rsid w:val="001F2DEB"/>
    <w:rsid w:val="003F7ABF"/>
    <w:rsid w:val="00475D45"/>
    <w:rsid w:val="006078BD"/>
    <w:rsid w:val="00633C49"/>
    <w:rsid w:val="009B62AB"/>
    <w:rsid w:val="00A46DAE"/>
    <w:rsid w:val="00B22854"/>
    <w:rsid w:val="00B459D4"/>
    <w:rsid w:val="00C40600"/>
    <w:rsid w:val="00CF4B8C"/>
    <w:rsid w:val="00EC195B"/>
    <w:rsid w:val="00EE57DC"/>
    <w:rsid w:val="00F8478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475D45"/>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46DAE"/>
    <w:rPr>
      <w:color w:val="0000FF" w:themeColor="hyperlink"/>
      <w:u w:val="single"/>
    </w:rPr>
  </w:style>
  <w:style w:type="paragraph" w:styleId="Odstavekseznama">
    <w:name w:val="List Paragraph"/>
    <w:basedOn w:val="Navaden"/>
    <w:uiPriority w:val="34"/>
    <w:qFormat/>
    <w:rsid w:val="00475D45"/>
    <w:pPr>
      <w:ind w:left="720"/>
      <w:contextualSpacing/>
    </w:pPr>
  </w:style>
  <w:style w:type="character" w:customStyle="1" w:styleId="Naslov2Znak">
    <w:name w:val="Naslov 2 Znak"/>
    <w:basedOn w:val="Privzetapisavaodstavka"/>
    <w:link w:val="Naslov2"/>
    <w:rsid w:val="00475D45"/>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475D45"/>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75D45"/>
    <w:rPr>
      <w:rFonts w:ascii="Tahoma" w:hAnsi="Tahoma" w:cs="Tahoma"/>
      <w:sz w:val="16"/>
      <w:szCs w:val="16"/>
    </w:rPr>
  </w:style>
  <w:style w:type="paragraph" w:customStyle="1" w:styleId="yiv4650360222msonormal">
    <w:name w:val="yiv4650360222msonormal"/>
    <w:basedOn w:val="Navaden"/>
    <w:rsid w:val="000E1EFD"/>
    <w:pPr>
      <w:spacing w:before="100" w:beforeAutospacing="1"/>
      <w:jc w:val="left"/>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1352FA"/>
    <w:rPr>
      <w:b/>
      <w:bCs/>
    </w:rPr>
  </w:style>
</w:styles>
</file>

<file path=word/webSettings.xml><?xml version="1.0" encoding="utf-8"?>
<w:webSettings xmlns:r="http://schemas.openxmlformats.org/officeDocument/2006/relationships" xmlns:w="http://schemas.openxmlformats.org/wordprocessingml/2006/main">
  <w:divs>
    <w:div w:id="16262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nvironment/waste/rohs_eee/pdf/update_legislation.pdf" TargetMode="External"/><Relationship Id="rId3" Type="http://schemas.openxmlformats.org/officeDocument/2006/relationships/settings" Target="settings.xml"/><Relationship Id="rId7" Type="http://schemas.openxmlformats.org/officeDocument/2006/relationships/hyperlink" Target="http://ec.europa.eu/environment/circular-economy/pdf/stakeholder_conference_agend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environment/waste/waste-to-energy.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c.europa.eu/environment/circular-economy/implementation_report.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717</Words>
  <Characters>4087</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6</cp:revision>
  <dcterms:created xsi:type="dcterms:W3CDTF">2017-01-25T20:04:00Z</dcterms:created>
  <dcterms:modified xsi:type="dcterms:W3CDTF">2017-01-26T18:46:00Z</dcterms:modified>
</cp:coreProperties>
</file>