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F7" w:rsidRPr="00083714" w:rsidRDefault="00416DF7" w:rsidP="00416DF7">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16DF7" w:rsidRPr="00083714" w:rsidRDefault="00416DF7" w:rsidP="00416DF7">
      <w:pPr>
        <w:pStyle w:val="Naslov2"/>
        <w:tabs>
          <w:tab w:val="left" w:pos="3120"/>
        </w:tabs>
        <w:spacing w:before="0"/>
        <w:jc w:val="center"/>
        <w:rPr>
          <w:sz w:val="22"/>
        </w:rPr>
      </w:pPr>
    </w:p>
    <w:p w:rsidR="00416DF7" w:rsidRPr="00083714" w:rsidRDefault="00416DF7" w:rsidP="00416DF7">
      <w:pPr>
        <w:pStyle w:val="Naslov2"/>
        <w:tabs>
          <w:tab w:val="left" w:pos="3120"/>
        </w:tabs>
        <w:spacing w:before="0"/>
        <w:jc w:val="center"/>
        <w:rPr>
          <w:b w:val="0"/>
          <w:bCs w:val="0"/>
          <w:i/>
          <w:iCs/>
          <w:sz w:val="22"/>
        </w:rPr>
      </w:pPr>
      <w:r w:rsidRPr="00083714">
        <w:rPr>
          <w:sz w:val="22"/>
        </w:rPr>
        <w:t>Slovensko gospodarsko in raziskovalno združenje, Bruselj</w:t>
      </w:r>
    </w:p>
    <w:p w:rsidR="00416DF7" w:rsidRPr="00083714" w:rsidRDefault="00416DF7" w:rsidP="00416DF7">
      <w:pPr>
        <w:pBdr>
          <w:bottom w:val="single" w:sz="6" w:space="1" w:color="auto"/>
        </w:pBdr>
        <w:tabs>
          <w:tab w:val="left" w:pos="3120"/>
        </w:tabs>
        <w:jc w:val="center"/>
        <w:rPr>
          <w:sz w:val="16"/>
          <w:szCs w:val="16"/>
        </w:rPr>
      </w:pPr>
    </w:p>
    <w:p w:rsidR="00416DF7" w:rsidRPr="00083714" w:rsidRDefault="00416DF7" w:rsidP="00416DF7">
      <w:pPr>
        <w:tabs>
          <w:tab w:val="left" w:pos="3120"/>
        </w:tabs>
        <w:rPr>
          <w:b/>
        </w:rPr>
      </w:pPr>
      <w:r w:rsidRPr="00083714">
        <w:rPr>
          <w:b/>
        </w:rPr>
        <w:tab/>
      </w:r>
      <w:r>
        <w:rPr>
          <w:b/>
        </w:rPr>
        <w:t>Občasna informacija članom 189</w:t>
      </w:r>
      <w:r w:rsidRPr="00083714">
        <w:rPr>
          <w:b/>
        </w:rPr>
        <w:t xml:space="preserve"> – 2019</w:t>
      </w:r>
    </w:p>
    <w:p w:rsidR="00416DF7" w:rsidRPr="00083714" w:rsidRDefault="00416DF7" w:rsidP="00416DF7">
      <w:pPr>
        <w:tabs>
          <w:tab w:val="left" w:pos="3120"/>
        </w:tabs>
        <w:jc w:val="center"/>
        <w:rPr>
          <w:b/>
        </w:rPr>
      </w:pPr>
      <w:r>
        <w:rPr>
          <w:b/>
        </w:rPr>
        <w:t>23</w:t>
      </w:r>
      <w:r w:rsidRPr="00083714">
        <w:rPr>
          <w:b/>
        </w:rPr>
        <w:t xml:space="preserve">. </w:t>
      </w:r>
      <w:r>
        <w:rPr>
          <w:b/>
        </w:rPr>
        <w:t>december</w:t>
      </w:r>
      <w:r w:rsidRPr="00083714">
        <w:rPr>
          <w:b/>
        </w:rPr>
        <w:t xml:space="preserve"> 2019</w:t>
      </w:r>
    </w:p>
    <w:p w:rsidR="00416DF7" w:rsidRDefault="00416DF7" w:rsidP="00416DF7">
      <w:pPr>
        <w:jc w:val="center"/>
        <w:rPr>
          <w:rFonts w:ascii="Arial" w:hAnsi="Arial" w:cs="Arial"/>
          <w:b/>
          <w:i/>
        </w:rPr>
      </w:pPr>
      <w:r>
        <w:rPr>
          <w:b/>
          <w:color w:val="993300"/>
          <w:sz w:val="32"/>
          <w:szCs w:val="32"/>
        </w:rPr>
        <w:t>Pravne zahteve za nacionalne proračunske okvire je treba okrepiti in bolje spremljati, kako jih države članice izvajajo v praksi</w:t>
      </w:r>
    </w:p>
    <w:p w:rsidR="007251BB" w:rsidRPr="00397CD0" w:rsidRDefault="00785826" w:rsidP="00397CD0">
      <w:pPr>
        <w:jc w:val="both"/>
        <w:rPr>
          <w:rFonts w:ascii="Arial" w:hAnsi="Arial" w:cs="Arial"/>
          <w:b/>
          <w:i/>
        </w:rPr>
      </w:pPr>
      <w:r w:rsidRPr="00397CD0">
        <w:rPr>
          <w:rFonts w:ascii="Arial" w:hAnsi="Arial" w:cs="Arial"/>
          <w:b/>
          <w:i/>
        </w:rPr>
        <w:t xml:space="preserve">EU mora dodatno okrepiti svoje pravne zahteve za nacionalne proračunske okvire in bolje spremljati to, kako jih države članice izvajajo v praksi. Te zahteve so v več pogledih manj stroge kot mednarodni standardi in Evropska komisija ima do zdaj malo informacij o tem, ali jih države ustrezno izvajajo, ugotavljajo revizorji Evropskega računskega sodišča. </w:t>
      </w:r>
      <w:r w:rsidR="00202EA6" w:rsidRPr="00397CD0">
        <w:rPr>
          <w:rFonts w:ascii="Arial" w:hAnsi="Arial" w:cs="Arial"/>
          <w:b/>
          <w:i/>
        </w:rPr>
        <w:t xml:space="preserve"> </w:t>
      </w:r>
      <w:r w:rsidRPr="00397CD0">
        <w:rPr>
          <w:rFonts w:ascii="Arial" w:hAnsi="Arial" w:cs="Arial"/>
          <w:b/>
          <w:i/>
        </w:rPr>
        <w:t>Opozarjajo tudi na tveganje nekonsistentnosti med ocenami Evropske komisije in neodvisnih fiskalnih institucij o skladnosti držav s fiskalnimi pravili EU ter na omejeno uspešnost Evropskega fiskalnega odbora, ker ni popolnoma neodvisen od Evropske komisije.</w:t>
      </w:r>
    </w:p>
    <w:p w:rsidR="00785826" w:rsidRPr="00397CD0" w:rsidRDefault="00202EA6" w:rsidP="00397CD0">
      <w:pPr>
        <w:jc w:val="both"/>
        <w:rPr>
          <w:rFonts w:ascii="Arial" w:hAnsi="Arial" w:cs="Arial"/>
          <w:sz w:val="20"/>
          <w:szCs w:val="20"/>
        </w:rPr>
      </w:pPr>
      <w:r w:rsidRPr="00397CD0">
        <w:rPr>
          <w:rFonts w:ascii="Arial" w:hAnsi="Arial" w:cs="Arial"/>
          <w:sz w:val="20"/>
          <w:szCs w:val="20"/>
        </w:rPr>
        <w:t>Revizorji Evropski komisiji priporočajo, naj pregleda zahteve EU v zvezi z nacionalnimi proračunskimi okviri in pri tem upošteva tudi mednarodne standarde in najboljše prakse. Prav tako priporočajo, naj okrepi zagotovila glede delovanja proračunskih okvirov, izboljša sodelovanje z neodvisnimi fiskalnimi institucijami, da bi kar najbolj zmanjšala odstopanja med ocenami skladnosti, ter okrepi Evropski fiskalni odbor.</w:t>
      </w:r>
    </w:p>
    <w:p w:rsidR="00202EA6" w:rsidRPr="00397CD0" w:rsidRDefault="00202EA6" w:rsidP="00397CD0">
      <w:pPr>
        <w:jc w:val="both"/>
        <w:rPr>
          <w:rFonts w:ascii="Arial" w:hAnsi="Arial" w:cs="Arial"/>
          <w:sz w:val="20"/>
          <w:szCs w:val="20"/>
        </w:rPr>
      </w:pPr>
      <w:r w:rsidRPr="00397CD0">
        <w:rPr>
          <w:rFonts w:ascii="Arial" w:hAnsi="Arial" w:cs="Arial"/>
          <w:sz w:val="20"/>
          <w:szCs w:val="20"/>
        </w:rPr>
        <w:t>Če bo nova direktiva EU, ki je bila predlagana leta 2017, odobrena, bodo mnoge slabosti odpravljene, vendar ne vse. Eden od primerov, ki so jih poudarili revizorji, je popravljalni mehanizem, saj je opredelitev okoliščin, v katerih se mehanizem aktivira, še vedno nejasna.</w:t>
      </w:r>
    </w:p>
    <w:p w:rsidR="00202EA6" w:rsidRPr="00397CD0" w:rsidRDefault="00202EA6" w:rsidP="00397CD0">
      <w:pPr>
        <w:jc w:val="both"/>
        <w:rPr>
          <w:rFonts w:ascii="Arial" w:hAnsi="Arial" w:cs="Arial"/>
          <w:b/>
          <w:sz w:val="20"/>
          <w:szCs w:val="20"/>
        </w:rPr>
      </w:pPr>
      <w:r w:rsidRPr="00397CD0">
        <w:rPr>
          <w:rFonts w:ascii="Arial" w:hAnsi="Arial" w:cs="Arial"/>
          <w:b/>
          <w:sz w:val="20"/>
          <w:szCs w:val="20"/>
        </w:rPr>
        <w:t>Koristne informacije:</w:t>
      </w:r>
    </w:p>
    <w:p w:rsidR="00202EA6" w:rsidRPr="00397CD0" w:rsidRDefault="00202EA6" w:rsidP="00397CD0">
      <w:pPr>
        <w:pStyle w:val="Odstavekseznama"/>
        <w:numPr>
          <w:ilvl w:val="0"/>
          <w:numId w:val="1"/>
        </w:numPr>
        <w:jc w:val="both"/>
        <w:rPr>
          <w:rFonts w:ascii="Arial" w:hAnsi="Arial" w:cs="Arial"/>
          <w:sz w:val="20"/>
          <w:szCs w:val="20"/>
        </w:rPr>
      </w:pPr>
      <w:r w:rsidRPr="00397CD0">
        <w:rPr>
          <w:rFonts w:ascii="Arial" w:hAnsi="Arial" w:cs="Arial"/>
          <w:sz w:val="20"/>
          <w:szCs w:val="20"/>
        </w:rPr>
        <w:t>Poročilo:</w:t>
      </w:r>
    </w:p>
    <w:p w:rsidR="00202EA6" w:rsidRPr="00397CD0" w:rsidRDefault="00202EA6" w:rsidP="00397CD0">
      <w:pPr>
        <w:pStyle w:val="Odstavekseznama"/>
        <w:numPr>
          <w:ilvl w:val="0"/>
          <w:numId w:val="1"/>
        </w:numPr>
        <w:jc w:val="both"/>
        <w:rPr>
          <w:rFonts w:ascii="Arial" w:hAnsi="Arial" w:cs="Arial"/>
          <w:sz w:val="20"/>
          <w:szCs w:val="20"/>
        </w:rPr>
      </w:pPr>
      <w:hyperlink r:id="rId6" w:history="1">
        <w:r w:rsidRPr="00397CD0">
          <w:rPr>
            <w:rStyle w:val="Hiperpovezava"/>
            <w:rFonts w:ascii="Arial" w:hAnsi="Arial" w:cs="Arial"/>
            <w:sz w:val="20"/>
            <w:szCs w:val="20"/>
          </w:rPr>
          <w:t>https://www.eca.europa.eu/Lists/ECADocuments/SR19_22/SR_Fiscal_Stability_SL.pdf</w:t>
        </w:r>
      </w:hyperlink>
    </w:p>
    <w:p w:rsidR="00202EA6" w:rsidRPr="00397CD0" w:rsidRDefault="00202EA6" w:rsidP="00397CD0">
      <w:pPr>
        <w:spacing w:after="0"/>
        <w:jc w:val="both"/>
        <w:rPr>
          <w:rFonts w:ascii="Arial" w:hAnsi="Arial" w:cs="Arial"/>
          <w:sz w:val="20"/>
          <w:szCs w:val="20"/>
        </w:rPr>
      </w:pPr>
      <w:r w:rsidRPr="00397CD0">
        <w:rPr>
          <w:rFonts w:ascii="Arial" w:hAnsi="Arial" w:cs="Arial"/>
          <w:sz w:val="20"/>
          <w:szCs w:val="20"/>
        </w:rPr>
        <w:t>Pripravila:</w:t>
      </w:r>
    </w:p>
    <w:p w:rsidR="00202EA6" w:rsidRPr="00397CD0" w:rsidRDefault="00202EA6" w:rsidP="00397CD0">
      <w:pPr>
        <w:spacing w:after="0"/>
        <w:jc w:val="both"/>
        <w:rPr>
          <w:rFonts w:ascii="Arial" w:hAnsi="Arial" w:cs="Arial"/>
          <w:sz w:val="20"/>
          <w:szCs w:val="20"/>
        </w:rPr>
      </w:pPr>
      <w:r w:rsidRPr="00397CD0">
        <w:rPr>
          <w:rFonts w:ascii="Arial" w:hAnsi="Arial" w:cs="Arial"/>
          <w:sz w:val="20"/>
          <w:szCs w:val="20"/>
        </w:rPr>
        <w:t>Darja Kocbek</w:t>
      </w:r>
    </w:p>
    <w:p w:rsidR="00202EA6" w:rsidRPr="00202EA6" w:rsidRDefault="00202EA6" w:rsidP="00397CD0">
      <w:pPr>
        <w:spacing w:after="0"/>
      </w:pPr>
    </w:p>
    <w:sectPr w:rsidR="00202EA6" w:rsidRPr="00202EA6" w:rsidSect="00725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C54AB"/>
    <w:multiLevelType w:val="hybridMultilevel"/>
    <w:tmpl w:val="D7462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5826"/>
    <w:rsid w:val="00202EA6"/>
    <w:rsid w:val="00397CD0"/>
    <w:rsid w:val="00416DF7"/>
    <w:rsid w:val="007251BB"/>
    <w:rsid w:val="0078582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51BB"/>
  </w:style>
  <w:style w:type="paragraph" w:styleId="Naslov2">
    <w:name w:val="heading 2"/>
    <w:basedOn w:val="Navaden"/>
    <w:next w:val="Navaden"/>
    <w:link w:val="Naslov2Znak"/>
    <w:uiPriority w:val="9"/>
    <w:semiHidden/>
    <w:unhideWhenUsed/>
    <w:qFormat/>
    <w:rsid w:val="00416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02EA6"/>
    <w:rPr>
      <w:color w:val="0000FF" w:themeColor="hyperlink"/>
      <w:u w:val="single"/>
    </w:rPr>
  </w:style>
  <w:style w:type="paragraph" w:styleId="Odstavekseznama">
    <w:name w:val="List Paragraph"/>
    <w:basedOn w:val="Navaden"/>
    <w:uiPriority w:val="34"/>
    <w:qFormat/>
    <w:rsid w:val="00397CD0"/>
    <w:pPr>
      <w:ind w:left="720"/>
      <w:contextualSpacing/>
    </w:pPr>
  </w:style>
  <w:style w:type="character" w:customStyle="1" w:styleId="Naslov2Znak">
    <w:name w:val="Naslov 2 Znak"/>
    <w:basedOn w:val="Privzetapisavaodstavka"/>
    <w:link w:val="Naslov2"/>
    <w:uiPriority w:val="9"/>
    <w:semiHidden/>
    <w:rsid w:val="00416DF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16DF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6D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SR19_22/SR_Fiscal_Stability_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2019-12-16T20:49:00Z</dcterms:created>
  <dcterms:modified xsi:type="dcterms:W3CDTF">2019-12-16T21:00:00Z</dcterms:modified>
</cp:coreProperties>
</file>