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C2" w:rsidRPr="00467345" w:rsidRDefault="00E809C2" w:rsidP="00E809C2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9C2" w:rsidRPr="00301C78" w:rsidRDefault="00E809C2" w:rsidP="00E809C2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809C2" w:rsidRPr="00083714" w:rsidRDefault="00E809C2" w:rsidP="00E809C2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E809C2" w:rsidRDefault="00E809C2" w:rsidP="00E809C2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E809C2" w:rsidRDefault="00E809C2" w:rsidP="00E809C2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188 </w:t>
      </w:r>
      <w:r w:rsidRPr="00083714">
        <w:rPr>
          <w:b/>
        </w:rPr>
        <w:t>– 20</w:t>
      </w:r>
      <w:r>
        <w:rPr>
          <w:b/>
        </w:rPr>
        <w:t>22</w:t>
      </w:r>
    </w:p>
    <w:p w:rsidR="00E809C2" w:rsidRDefault="00E809C2" w:rsidP="00E809C2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05. december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E809C2" w:rsidRPr="00995933" w:rsidRDefault="00E809C2" w:rsidP="00E809C2">
      <w:pPr>
        <w:tabs>
          <w:tab w:val="left" w:pos="3120"/>
        </w:tabs>
        <w:spacing w:after="0"/>
        <w:jc w:val="center"/>
        <w:rPr>
          <w:b/>
        </w:rPr>
      </w:pPr>
    </w:p>
    <w:p w:rsidR="000A6467" w:rsidRDefault="00E809C2" w:rsidP="00E809C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je sprejela evropsko strategijo za </w:t>
      </w:r>
      <w:proofErr w:type="spellStart"/>
      <w:r>
        <w:rPr>
          <w:b/>
          <w:color w:val="993300"/>
          <w:sz w:val="32"/>
          <w:szCs w:val="32"/>
        </w:rPr>
        <w:t>drone</w:t>
      </w:r>
      <w:proofErr w:type="spellEnd"/>
      <w:r>
        <w:rPr>
          <w:b/>
          <w:color w:val="993300"/>
          <w:sz w:val="32"/>
          <w:szCs w:val="32"/>
        </w:rPr>
        <w:t xml:space="preserve"> 2.0</w:t>
      </w:r>
    </w:p>
    <w:p w:rsidR="00151436" w:rsidRPr="000A6467" w:rsidRDefault="004E358F" w:rsidP="000A6467">
      <w:pPr>
        <w:jc w:val="both"/>
        <w:rPr>
          <w:rFonts w:ascii="Arial" w:hAnsi="Arial" w:cs="Arial"/>
          <w:b/>
          <w:i/>
        </w:rPr>
      </w:pPr>
      <w:r w:rsidRPr="000A6467">
        <w:rPr>
          <w:rFonts w:ascii="Arial" w:hAnsi="Arial" w:cs="Arial"/>
          <w:b/>
          <w:i/>
        </w:rPr>
        <w:t xml:space="preserve">Evropska komisija je sprejela evropsko strategijo za </w:t>
      </w:r>
      <w:proofErr w:type="spellStart"/>
      <w:r w:rsidRPr="000A6467">
        <w:rPr>
          <w:rFonts w:ascii="Arial" w:hAnsi="Arial" w:cs="Arial"/>
          <w:b/>
          <w:i/>
        </w:rPr>
        <w:t>drone</w:t>
      </w:r>
      <w:proofErr w:type="spellEnd"/>
      <w:r w:rsidRPr="000A6467">
        <w:rPr>
          <w:rFonts w:ascii="Arial" w:hAnsi="Arial" w:cs="Arial"/>
          <w:b/>
          <w:i/>
        </w:rPr>
        <w:t xml:space="preserve"> 2.0. V njej so predvidene storitve </w:t>
      </w:r>
      <w:proofErr w:type="spellStart"/>
      <w:r w:rsidRPr="000A6467">
        <w:rPr>
          <w:rFonts w:ascii="Arial" w:hAnsi="Arial" w:cs="Arial"/>
          <w:b/>
          <w:i/>
        </w:rPr>
        <w:t>dronov</w:t>
      </w:r>
      <w:proofErr w:type="spellEnd"/>
      <w:r w:rsidR="000A6467">
        <w:rPr>
          <w:rFonts w:ascii="Arial" w:hAnsi="Arial" w:cs="Arial"/>
          <w:b/>
          <w:i/>
        </w:rPr>
        <w:t xml:space="preserve"> s </w:t>
      </w:r>
      <w:r w:rsidRPr="000A6467">
        <w:rPr>
          <w:rFonts w:ascii="Arial" w:hAnsi="Arial" w:cs="Arial"/>
          <w:b/>
          <w:i/>
        </w:rPr>
        <w:t xml:space="preserve">področja reševalne službe, kartiranja, slikanja, za inšpekcijske preglede in nadzor s civilnimi </w:t>
      </w:r>
      <w:proofErr w:type="spellStart"/>
      <w:r w:rsidRPr="000A6467">
        <w:rPr>
          <w:rFonts w:ascii="Arial" w:hAnsi="Arial" w:cs="Arial"/>
          <w:b/>
          <w:i/>
        </w:rPr>
        <w:t>droni</w:t>
      </w:r>
      <w:proofErr w:type="spellEnd"/>
      <w:r w:rsidRPr="000A6467">
        <w:rPr>
          <w:rFonts w:ascii="Arial" w:hAnsi="Arial" w:cs="Arial"/>
          <w:b/>
          <w:i/>
        </w:rPr>
        <w:t xml:space="preserve"> ob upoštevanju veljavnih pravnih okvirov ter za  nujno dostavo majhnih pošiljk, kot so biološki vzorci ali zdravila. Predvidene so tudi inovativne storitve za mobilnost v zračnem prometu, kot so letalski taksiji, ki zagotavljajo redne prevozne storitve za potnike, pri katerih bo sprva na krovu pilot, končni cilj pa bo popolna avtomatizacija delovanja.</w:t>
      </w:r>
    </w:p>
    <w:p w:rsidR="004E358F" w:rsidRPr="000A6467" w:rsidRDefault="00700BC0" w:rsidP="000A6467">
      <w:pPr>
        <w:jc w:val="both"/>
        <w:rPr>
          <w:rFonts w:ascii="Arial" w:hAnsi="Arial" w:cs="Arial"/>
          <w:sz w:val="20"/>
          <w:szCs w:val="20"/>
        </w:rPr>
      </w:pPr>
      <w:r w:rsidRPr="000A6467">
        <w:rPr>
          <w:rFonts w:ascii="Arial" w:hAnsi="Arial" w:cs="Arial"/>
          <w:sz w:val="20"/>
          <w:szCs w:val="20"/>
        </w:rPr>
        <w:t xml:space="preserve">Poleg tega so v strategiji navedena področja za sinergije med civilnimi in obrambnimi </w:t>
      </w:r>
      <w:proofErr w:type="spellStart"/>
      <w:r w:rsidRPr="000A6467">
        <w:rPr>
          <w:rFonts w:ascii="Arial" w:hAnsi="Arial" w:cs="Arial"/>
          <w:sz w:val="20"/>
          <w:szCs w:val="20"/>
        </w:rPr>
        <w:t>droni</w:t>
      </w:r>
      <w:proofErr w:type="spellEnd"/>
      <w:r w:rsidRPr="000A6467">
        <w:rPr>
          <w:rFonts w:ascii="Arial" w:hAnsi="Arial" w:cs="Arial"/>
          <w:sz w:val="20"/>
          <w:szCs w:val="20"/>
        </w:rPr>
        <w:t xml:space="preserve"> ter za krepitev </w:t>
      </w:r>
      <w:proofErr w:type="spellStart"/>
      <w:r w:rsidRPr="000A6467">
        <w:rPr>
          <w:rFonts w:ascii="Arial" w:hAnsi="Arial" w:cs="Arial"/>
          <w:sz w:val="20"/>
          <w:szCs w:val="20"/>
        </w:rPr>
        <w:t>protidronskih</w:t>
      </w:r>
      <w:proofErr w:type="spellEnd"/>
      <w:r w:rsidRPr="000A6467">
        <w:rPr>
          <w:rFonts w:ascii="Arial" w:hAnsi="Arial" w:cs="Arial"/>
          <w:sz w:val="20"/>
          <w:szCs w:val="20"/>
        </w:rPr>
        <w:t xml:space="preserve"> zmogljivosti in odpornosti sistema. Za sprostitev potenciala trga </w:t>
      </w:r>
      <w:proofErr w:type="spellStart"/>
      <w:r w:rsidRPr="000A6467">
        <w:rPr>
          <w:rFonts w:ascii="Arial" w:hAnsi="Arial" w:cs="Arial"/>
          <w:sz w:val="20"/>
          <w:szCs w:val="20"/>
        </w:rPr>
        <w:t>dronov</w:t>
      </w:r>
      <w:proofErr w:type="spellEnd"/>
      <w:r w:rsidRPr="000A6467">
        <w:rPr>
          <w:rFonts w:ascii="Arial" w:hAnsi="Arial" w:cs="Arial"/>
          <w:sz w:val="20"/>
          <w:szCs w:val="20"/>
        </w:rPr>
        <w:t xml:space="preserve"> v EU in storitev </w:t>
      </w:r>
      <w:proofErr w:type="spellStart"/>
      <w:r w:rsidRPr="000A6467">
        <w:rPr>
          <w:rFonts w:ascii="Arial" w:hAnsi="Arial" w:cs="Arial"/>
          <w:sz w:val="20"/>
          <w:szCs w:val="20"/>
        </w:rPr>
        <w:t>dronov</w:t>
      </w:r>
      <w:proofErr w:type="spellEnd"/>
      <w:r w:rsidRPr="000A6467">
        <w:rPr>
          <w:rFonts w:ascii="Arial" w:hAnsi="Arial" w:cs="Arial"/>
          <w:sz w:val="20"/>
          <w:szCs w:val="20"/>
        </w:rPr>
        <w:t xml:space="preserve"> je treba določiti ključne tehnološke gradnike, kot so umetna inteligenca, robotika, polprevodniki ter vesoljske storitve in mobilne telekomunikacije EU.</w:t>
      </w:r>
    </w:p>
    <w:p w:rsidR="00700BC0" w:rsidRPr="000A6467" w:rsidRDefault="00700BC0" w:rsidP="000A6467">
      <w:pPr>
        <w:jc w:val="both"/>
        <w:rPr>
          <w:rFonts w:ascii="Arial" w:hAnsi="Arial" w:cs="Arial"/>
          <w:sz w:val="20"/>
          <w:szCs w:val="20"/>
        </w:rPr>
      </w:pPr>
      <w:r w:rsidRPr="000A6467">
        <w:rPr>
          <w:rFonts w:ascii="Arial" w:hAnsi="Arial" w:cs="Arial"/>
          <w:sz w:val="20"/>
          <w:szCs w:val="20"/>
        </w:rPr>
        <w:t xml:space="preserve">Predvidenih je 19 ukrepov za prihodnji trg </w:t>
      </w:r>
      <w:proofErr w:type="spellStart"/>
      <w:r w:rsidRPr="000A6467">
        <w:rPr>
          <w:rFonts w:ascii="Arial" w:hAnsi="Arial" w:cs="Arial"/>
          <w:sz w:val="20"/>
          <w:szCs w:val="20"/>
        </w:rPr>
        <w:t>dronov</w:t>
      </w:r>
      <w:proofErr w:type="spellEnd"/>
      <w:r w:rsidRPr="000A6467">
        <w:rPr>
          <w:rFonts w:ascii="Arial" w:hAnsi="Arial" w:cs="Arial"/>
          <w:sz w:val="20"/>
          <w:szCs w:val="20"/>
        </w:rPr>
        <w:t xml:space="preserve">. Sprejeti bo treba skupna pravila za plovnost in nove zahteve za usposabljanje upravljavcev zrakoplovov na daljavo in zrakoplovov </w:t>
      </w:r>
      <w:proofErr w:type="spellStart"/>
      <w:r w:rsidRPr="000A6467">
        <w:rPr>
          <w:rFonts w:ascii="Arial" w:hAnsi="Arial" w:cs="Arial"/>
          <w:sz w:val="20"/>
          <w:szCs w:val="20"/>
        </w:rPr>
        <w:t>eVTOL</w:t>
      </w:r>
      <w:proofErr w:type="spellEnd"/>
      <w:r w:rsidRPr="000A6467">
        <w:rPr>
          <w:rFonts w:ascii="Arial" w:hAnsi="Arial" w:cs="Arial"/>
          <w:sz w:val="20"/>
          <w:szCs w:val="20"/>
        </w:rPr>
        <w:t xml:space="preserve"> (električni zrakoplov z navpičnim vzletanjem in pristajanjem s posadko). Zagotoviti bo treba financiranje vzpostavitve spletne platforme za podporo lokalnim deležnikom in industriji pri izvajanju trajnostne inovativne zračne mobilnosti. </w:t>
      </w:r>
    </w:p>
    <w:p w:rsidR="00700BC0" w:rsidRPr="000A6467" w:rsidRDefault="00700BC0" w:rsidP="000A6467">
      <w:pPr>
        <w:jc w:val="both"/>
        <w:rPr>
          <w:rFonts w:ascii="Arial" w:hAnsi="Arial" w:cs="Arial"/>
          <w:sz w:val="20"/>
          <w:szCs w:val="20"/>
        </w:rPr>
      </w:pPr>
      <w:r w:rsidRPr="000A6467">
        <w:rPr>
          <w:rFonts w:ascii="Arial" w:hAnsi="Arial" w:cs="Arial"/>
          <w:sz w:val="20"/>
          <w:szCs w:val="20"/>
        </w:rPr>
        <w:t xml:space="preserve">V  strateškem tehnološkem kažipotu za </w:t>
      </w:r>
      <w:proofErr w:type="spellStart"/>
      <w:r w:rsidRPr="000A6467">
        <w:rPr>
          <w:rFonts w:ascii="Arial" w:hAnsi="Arial" w:cs="Arial"/>
          <w:sz w:val="20"/>
          <w:szCs w:val="20"/>
        </w:rPr>
        <w:t>drone</w:t>
      </w:r>
      <w:proofErr w:type="spellEnd"/>
      <w:r w:rsidRPr="000A6467">
        <w:rPr>
          <w:rFonts w:ascii="Arial" w:hAnsi="Arial" w:cs="Arial"/>
          <w:sz w:val="20"/>
          <w:szCs w:val="20"/>
        </w:rPr>
        <w:t xml:space="preserve"> bi določili prednostna področja raziskav in inovacij za zmanjšanje sedanje strateške odvisnosti in preprečitev nastajanja nove odvisnosti. Potrebno bo opredeliti tudi merila za prostovoljno oznako »</w:t>
      </w:r>
      <w:proofErr w:type="spellStart"/>
      <w:r w:rsidRPr="000A6467">
        <w:rPr>
          <w:rFonts w:ascii="Arial" w:hAnsi="Arial" w:cs="Arial"/>
          <w:sz w:val="20"/>
          <w:szCs w:val="20"/>
        </w:rPr>
        <w:t>kibernetskovarnostno</w:t>
      </w:r>
      <w:proofErr w:type="spellEnd"/>
      <w:r w:rsidRPr="000A6467">
        <w:rPr>
          <w:rFonts w:ascii="Arial" w:hAnsi="Arial" w:cs="Arial"/>
          <w:sz w:val="20"/>
          <w:szCs w:val="20"/>
        </w:rPr>
        <w:t xml:space="preserve"> odobreni brezpilotni zrakoplov«.</w:t>
      </w:r>
    </w:p>
    <w:p w:rsidR="00700BC0" w:rsidRPr="000A6467" w:rsidRDefault="00700BC0" w:rsidP="000A6467">
      <w:pPr>
        <w:jc w:val="both"/>
        <w:rPr>
          <w:rFonts w:ascii="Arial" w:hAnsi="Arial" w:cs="Arial"/>
          <w:b/>
          <w:sz w:val="20"/>
          <w:szCs w:val="20"/>
        </w:rPr>
      </w:pPr>
      <w:r w:rsidRPr="000A6467">
        <w:rPr>
          <w:rFonts w:ascii="Arial" w:hAnsi="Arial" w:cs="Arial"/>
          <w:b/>
          <w:sz w:val="20"/>
          <w:szCs w:val="20"/>
        </w:rPr>
        <w:t>Koristne informacije:</w:t>
      </w:r>
    </w:p>
    <w:p w:rsidR="00700BC0" w:rsidRPr="000A6467" w:rsidRDefault="005C0F6E" w:rsidP="000A646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A6467">
        <w:rPr>
          <w:rFonts w:ascii="Arial" w:hAnsi="Arial" w:cs="Arial"/>
          <w:sz w:val="20"/>
          <w:szCs w:val="20"/>
        </w:rPr>
        <w:t>Sporočilo Evropske komisije s povezavo na strategijo:</w:t>
      </w:r>
    </w:p>
    <w:p w:rsidR="005C0F6E" w:rsidRPr="000A6467" w:rsidRDefault="005C0F6E" w:rsidP="000A646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0A6467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https://ec.europa.eu/commission/presscorner/detail/sl/ip_22_7076</w:t>
        </w:r>
      </w:hyperlink>
    </w:p>
    <w:p w:rsidR="005C0F6E" w:rsidRPr="000A6467" w:rsidRDefault="005C0F6E" w:rsidP="000A646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6467">
        <w:rPr>
          <w:rFonts w:ascii="Arial" w:hAnsi="Arial" w:cs="Arial"/>
          <w:sz w:val="20"/>
          <w:szCs w:val="20"/>
        </w:rPr>
        <w:t>Pripravila:</w:t>
      </w:r>
    </w:p>
    <w:p w:rsidR="005C0F6E" w:rsidRPr="000A6467" w:rsidRDefault="005C0F6E" w:rsidP="000A646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6467">
        <w:rPr>
          <w:rFonts w:ascii="Arial" w:hAnsi="Arial" w:cs="Arial"/>
          <w:sz w:val="20"/>
          <w:szCs w:val="20"/>
        </w:rPr>
        <w:t>Darja Kocbek</w:t>
      </w:r>
    </w:p>
    <w:sectPr w:rsidR="005C0F6E" w:rsidRPr="000A6467" w:rsidSect="0015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0F35"/>
    <w:multiLevelType w:val="hybridMultilevel"/>
    <w:tmpl w:val="1BDE6C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E358F"/>
    <w:rsid w:val="000A6467"/>
    <w:rsid w:val="00151436"/>
    <w:rsid w:val="004E358F"/>
    <w:rsid w:val="005C0F6E"/>
    <w:rsid w:val="00700BC0"/>
    <w:rsid w:val="00E8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1436"/>
  </w:style>
  <w:style w:type="paragraph" w:styleId="Naslov2">
    <w:name w:val="heading 2"/>
    <w:basedOn w:val="Navaden"/>
    <w:link w:val="Naslov2Znak"/>
    <w:uiPriority w:val="9"/>
    <w:qFormat/>
    <w:rsid w:val="00E80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4E358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C0F6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A646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809C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0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mmission/presscorner/detail/sl/ip_22_707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1771</Characters>
  <Application>Microsoft Office Word</Application>
  <DocSecurity>0</DocSecurity>
  <Lines>14</Lines>
  <Paragraphs>4</Paragraphs>
  <ScaleCrop>false</ScaleCrop>
  <Company>HP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2022-12-01T07:26:00Z</dcterms:created>
  <dcterms:modified xsi:type="dcterms:W3CDTF">2022-12-01T07:40:00Z</dcterms:modified>
</cp:coreProperties>
</file>