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644" w:rsidRPr="00467345" w:rsidRDefault="00E23644" w:rsidP="00E2364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4"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E23644" w:rsidRPr="00083714" w:rsidRDefault="00E23644" w:rsidP="00E23644">
      <w:pPr>
        <w:pStyle w:val="Naslov2"/>
        <w:tabs>
          <w:tab w:val="left" w:pos="3120"/>
        </w:tabs>
        <w:spacing w:before="240"/>
        <w:jc w:val="center"/>
        <w:rPr>
          <w:b w:val="0"/>
          <w:bCs w:val="0"/>
          <w:i/>
          <w:iCs/>
          <w:sz w:val="22"/>
        </w:rPr>
      </w:pPr>
      <w:r w:rsidRPr="00083714">
        <w:rPr>
          <w:sz w:val="22"/>
        </w:rPr>
        <w:t>Slovensko gospodarsko in raziskovalno združenje, Bruselj</w:t>
      </w:r>
    </w:p>
    <w:p w:rsidR="00E23644" w:rsidRPr="00083714" w:rsidRDefault="00E23644" w:rsidP="00E23644">
      <w:pPr>
        <w:pBdr>
          <w:bottom w:val="single" w:sz="6" w:space="1" w:color="auto"/>
        </w:pBdr>
        <w:tabs>
          <w:tab w:val="left" w:pos="3120"/>
        </w:tabs>
        <w:spacing w:before="240"/>
        <w:jc w:val="center"/>
        <w:rPr>
          <w:sz w:val="16"/>
          <w:szCs w:val="16"/>
        </w:rPr>
      </w:pPr>
    </w:p>
    <w:p w:rsidR="00E23644" w:rsidRDefault="00E23644" w:rsidP="00E23644">
      <w:pPr>
        <w:tabs>
          <w:tab w:val="left" w:pos="3120"/>
        </w:tabs>
        <w:spacing w:before="240"/>
        <w:rPr>
          <w:b/>
        </w:rPr>
      </w:pPr>
      <w:r w:rsidRPr="00083714">
        <w:rPr>
          <w:b/>
        </w:rPr>
        <w:tab/>
      </w:r>
      <w:r>
        <w:rPr>
          <w:b/>
        </w:rPr>
        <w:t xml:space="preserve">Občasna informacija članom 187 </w:t>
      </w:r>
      <w:r w:rsidRPr="00083714">
        <w:rPr>
          <w:b/>
        </w:rPr>
        <w:t>– 20</w:t>
      </w:r>
      <w:r>
        <w:rPr>
          <w:b/>
        </w:rPr>
        <w:t>21</w:t>
      </w:r>
    </w:p>
    <w:p w:rsidR="00E23644" w:rsidRPr="0084452F" w:rsidRDefault="00E23644" w:rsidP="00E23644">
      <w:pPr>
        <w:tabs>
          <w:tab w:val="left" w:pos="3120"/>
        </w:tabs>
        <w:spacing w:before="240"/>
        <w:jc w:val="center"/>
        <w:rPr>
          <w:b/>
        </w:rPr>
      </w:pPr>
      <w:r>
        <w:rPr>
          <w:b/>
        </w:rPr>
        <w:t xml:space="preserve">13. december </w:t>
      </w:r>
      <w:r w:rsidRPr="00083714">
        <w:rPr>
          <w:b/>
        </w:rPr>
        <w:t xml:space="preserve"> 20</w:t>
      </w:r>
      <w:r>
        <w:rPr>
          <w:b/>
        </w:rPr>
        <w:t>21</w:t>
      </w:r>
    </w:p>
    <w:p w:rsidR="001C4411" w:rsidRDefault="00E23644" w:rsidP="00E23644">
      <w:pPr>
        <w:jc w:val="center"/>
        <w:rPr>
          <w:rFonts w:ascii="Arial" w:hAnsi="Arial" w:cs="Arial"/>
          <w:b/>
          <w:i/>
        </w:rPr>
      </w:pPr>
      <w:r>
        <w:rPr>
          <w:b/>
          <w:color w:val="993300"/>
          <w:sz w:val="32"/>
          <w:szCs w:val="32"/>
        </w:rPr>
        <w:t>Evropska komisija je sprejela revidirane smernice o državni pomoči za naložbe tveganega financiranja</w:t>
      </w:r>
    </w:p>
    <w:p w:rsidR="008125DD" w:rsidRPr="001C4411" w:rsidRDefault="00085539" w:rsidP="001C4411">
      <w:pPr>
        <w:jc w:val="both"/>
        <w:rPr>
          <w:rFonts w:ascii="Arial" w:hAnsi="Arial" w:cs="Arial"/>
          <w:b/>
          <w:i/>
        </w:rPr>
      </w:pPr>
      <w:r w:rsidRPr="001C4411">
        <w:rPr>
          <w:rFonts w:ascii="Arial" w:hAnsi="Arial" w:cs="Arial"/>
          <w:b/>
          <w:i/>
        </w:rPr>
        <w:t>Evropska komisija je sprejela revidirane smernice o državni pomoči za spodbujanje naložb tveganega financiranja, ki se bodo uporabljale od 1. januarja 2022. V skladu z njimi bodo lahko države članice podprle evropska zagonska podjetja, mala in srednja podjetja ter podjetja s srednje veliko tržno kapitalizacijo tako, da s finančnimi instrumenti in fiskalnimi ukrepi začnejo privabljati dodatne zasebne naložbe v ta podjetja. Člani lahko dobijo več informacij na SBRA.</w:t>
      </w:r>
    </w:p>
    <w:p w:rsidR="00085539" w:rsidRPr="001C4411" w:rsidRDefault="009E54E7" w:rsidP="001C4411">
      <w:pPr>
        <w:jc w:val="both"/>
        <w:rPr>
          <w:rFonts w:ascii="Arial" w:hAnsi="Arial" w:cs="Arial"/>
          <w:sz w:val="20"/>
          <w:szCs w:val="20"/>
        </w:rPr>
      </w:pPr>
      <w:r w:rsidRPr="001C4411">
        <w:rPr>
          <w:rFonts w:ascii="Arial" w:hAnsi="Arial" w:cs="Arial"/>
          <w:sz w:val="20"/>
          <w:szCs w:val="20"/>
        </w:rPr>
        <w:t>Revidirane smernice omejujejo zahtevo po zagotovitvi analize likvidnostne vrzeli za največje sheme tveganega financiranja in dodatno pojasnjujejo dokaze, potrebne za utemeljitev pomoči. Analizo likvidnostne vrzeli zahtevajo le za največje ukrepe pomoči za tvegano financiranje, in sicer tiste, ki omogočajo naložbene zneske nad 15 milijonov evrov na posameznega upravičenca. Navedeno je tudi, kateri dokazi so potrebni za dokazovanje obstoja specifičnih primerov nedelovanja trga ali drugih zadevnih ovir pri dostopu do financiranja v skladu z obstoječo prakso.</w:t>
      </w:r>
    </w:p>
    <w:p w:rsidR="009E54E7" w:rsidRPr="001C4411" w:rsidRDefault="009E54E7" w:rsidP="001C4411">
      <w:pPr>
        <w:jc w:val="both"/>
        <w:rPr>
          <w:rFonts w:ascii="Arial" w:hAnsi="Arial" w:cs="Arial"/>
          <w:sz w:val="20"/>
          <w:szCs w:val="20"/>
        </w:rPr>
      </w:pPr>
      <w:r w:rsidRPr="001C4411">
        <w:rPr>
          <w:rFonts w:ascii="Arial" w:hAnsi="Arial" w:cs="Arial"/>
          <w:sz w:val="20"/>
          <w:szCs w:val="20"/>
        </w:rPr>
        <w:t>Novost je tudi, da revidirane smernice uvajajo poenostavljene zahteve za oceno shem, ki so namenjene izključno zagonskim podjetjem in malim in srednjim podjetjem, ki še niso opravila prve komercialne prodaje. To se nanaša zlasti na količino dokazov, ki jih morajo države članice predložiti kot del predhodne ocene, ki jo morajo predložiti, da dokažejo, zakaj je pomoč potrebna, ustrezna in sorazmerna.</w:t>
      </w:r>
    </w:p>
    <w:p w:rsidR="009E54E7" w:rsidRPr="001C4411" w:rsidRDefault="009E54E7" w:rsidP="001C4411">
      <w:pPr>
        <w:jc w:val="both"/>
        <w:rPr>
          <w:rFonts w:ascii="Arial" w:hAnsi="Arial" w:cs="Arial"/>
          <w:sz w:val="20"/>
          <w:szCs w:val="20"/>
        </w:rPr>
      </w:pPr>
      <w:r w:rsidRPr="001C4411">
        <w:rPr>
          <w:rFonts w:ascii="Arial" w:hAnsi="Arial" w:cs="Arial"/>
          <w:sz w:val="20"/>
          <w:szCs w:val="20"/>
        </w:rPr>
        <w:t>Revidirane smernice prav tako usklajujejo nekatere opredelitve pojmov iz smernic s tistimi iz uredbe o splošnih skupinskih izjemah. Opredelitev »inovativnih podjetij s srednje veliko tržno kapitalizacijo« je usklajena z opredelitvijo »inovativnih podjetij« iz uredbe o splošnih skupinskih izjemah. Poleg tega je bila opredelitev razširjena tako, da vključuje tudi podjetja s srednje veliko tržno kapitalizacijo, ki so sodelovala v izbranih pobudah EU, in sicer pobudi za vesoljsko podjetništvo CASSINI ter Evropskem svetu za inovacije in njegovem skladu, ali so prejela naložbe iz njih.</w:t>
      </w:r>
    </w:p>
    <w:p w:rsidR="009E54E7" w:rsidRPr="001C4411" w:rsidRDefault="009E54E7" w:rsidP="001C4411">
      <w:pPr>
        <w:jc w:val="both"/>
        <w:rPr>
          <w:rFonts w:ascii="Arial" w:hAnsi="Arial" w:cs="Arial"/>
          <w:b/>
          <w:sz w:val="20"/>
          <w:szCs w:val="20"/>
        </w:rPr>
      </w:pPr>
      <w:r w:rsidRPr="001C4411">
        <w:rPr>
          <w:rFonts w:ascii="Arial" w:hAnsi="Arial" w:cs="Arial"/>
          <w:b/>
          <w:sz w:val="20"/>
          <w:szCs w:val="20"/>
        </w:rPr>
        <w:t>Koristne informacije:</w:t>
      </w:r>
    </w:p>
    <w:p w:rsidR="009E54E7" w:rsidRPr="001C4411" w:rsidRDefault="001C4411" w:rsidP="001C4411">
      <w:pPr>
        <w:pStyle w:val="Odstavekseznama"/>
        <w:numPr>
          <w:ilvl w:val="0"/>
          <w:numId w:val="1"/>
        </w:numPr>
        <w:jc w:val="both"/>
        <w:rPr>
          <w:rFonts w:ascii="Arial" w:hAnsi="Arial" w:cs="Arial"/>
          <w:sz w:val="20"/>
          <w:szCs w:val="20"/>
        </w:rPr>
      </w:pPr>
      <w:r w:rsidRPr="001C4411">
        <w:rPr>
          <w:rFonts w:ascii="Arial" w:hAnsi="Arial" w:cs="Arial"/>
          <w:sz w:val="20"/>
          <w:szCs w:val="20"/>
        </w:rPr>
        <w:t>Spletna stran z informacijami o državni pomoči za tvegano financiranje s povezavo na revidirane smernice:</w:t>
      </w:r>
    </w:p>
    <w:p w:rsidR="001C4411" w:rsidRPr="001C4411" w:rsidRDefault="001C4411" w:rsidP="001C4411">
      <w:pPr>
        <w:pStyle w:val="Odstavekseznama"/>
        <w:numPr>
          <w:ilvl w:val="0"/>
          <w:numId w:val="1"/>
        </w:numPr>
        <w:jc w:val="both"/>
        <w:rPr>
          <w:rFonts w:ascii="Arial" w:hAnsi="Arial" w:cs="Arial"/>
          <w:sz w:val="20"/>
          <w:szCs w:val="20"/>
        </w:rPr>
      </w:pPr>
      <w:hyperlink r:id="rId6" w:history="1">
        <w:r w:rsidRPr="001C4411">
          <w:rPr>
            <w:rStyle w:val="Hiperpovezava"/>
            <w:rFonts w:ascii="Arial" w:hAnsi="Arial" w:cs="Arial"/>
            <w:sz w:val="20"/>
            <w:szCs w:val="20"/>
          </w:rPr>
          <w:t>https://ec.europa.eu/competition-policy/state-aid/legislation/horizontal-rules/risk-finance-aid_en</w:t>
        </w:r>
      </w:hyperlink>
    </w:p>
    <w:p w:rsidR="001C4411" w:rsidRPr="001C4411" w:rsidRDefault="001C4411" w:rsidP="001C4411">
      <w:pPr>
        <w:pStyle w:val="Odstavekseznama"/>
        <w:numPr>
          <w:ilvl w:val="0"/>
          <w:numId w:val="1"/>
        </w:numPr>
        <w:jc w:val="both"/>
        <w:rPr>
          <w:rFonts w:ascii="Arial" w:hAnsi="Arial" w:cs="Arial"/>
          <w:sz w:val="20"/>
          <w:szCs w:val="20"/>
        </w:rPr>
      </w:pPr>
      <w:r w:rsidRPr="001C4411">
        <w:rPr>
          <w:rFonts w:ascii="Arial" w:hAnsi="Arial" w:cs="Arial"/>
          <w:sz w:val="20"/>
          <w:szCs w:val="20"/>
        </w:rPr>
        <w:lastRenderedPageBreak/>
        <w:t>Uredba o splošnih skupinskih izjemah:</w:t>
      </w:r>
    </w:p>
    <w:p w:rsidR="001C4411" w:rsidRPr="001C4411" w:rsidRDefault="001C4411" w:rsidP="001C4411">
      <w:pPr>
        <w:pStyle w:val="Odstavekseznama"/>
        <w:numPr>
          <w:ilvl w:val="0"/>
          <w:numId w:val="1"/>
        </w:numPr>
        <w:jc w:val="both"/>
        <w:rPr>
          <w:rFonts w:ascii="Arial" w:hAnsi="Arial" w:cs="Arial"/>
          <w:sz w:val="20"/>
          <w:szCs w:val="20"/>
        </w:rPr>
      </w:pPr>
      <w:hyperlink r:id="rId7" w:history="1">
        <w:r w:rsidRPr="001C4411">
          <w:rPr>
            <w:rStyle w:val="Hiperpovezava"/>
            <w:rFonts w:ascii="Arial" w:hAnsi="Arial" w:cs="Arial"/>
            <w:sz w:val="20"/>
            <w:szCs w:val="20"/>
          </w:rPr>
          <w:t>https://eur-lex.europa.eu/legal-content/sl/TXT/?uri=CELEX:02014R0651-20170710</w:t>
        </w:r>
      </w:hyperlink>
      <w:r w:rsidRPr="001C4411">
        <w:rPr>
          <w:rFonts w:ascii="Arial" w:hAnsi="Arial" w:cs="Arial"/>
          <w:sz w:val="20"/>
          <w:szCs w:val="20"/>
        </w:rPr>
        <w:t xml:space="preserve"> </w:t>
      </w:r>
    </w:p>
    <w:p w:rsidR="001C4411" w:rsidRPr="001C4411" w:rsidRDefault="001C4411" w:rsidP="001C4411">
      <w:pPr>
        <w:spacing w:after="0"/>
        <w:jc w:val="both"/>
        <w:rPr>
          <w:rFonts w:ascii="Arial" w:hAnsi="Arial" w:cs="Arial"/>
          <w:sz w:val="20"/>
          <w:szCs w:val="20"/>
        </w:rPr>
      </w:pPr>
      <w:r w:rsidRPr="001C4411">
        <w:rPr>
          <w:rFonts w:ascii="Arial" w:hAnsi="Arial" w:cs="Arial"/>
          <w:sz w:val="20"/>
          <w:szCs w:val="20"/>
        </w:rPr>
        <w:t>Pripravila:</w:t>
      </w:r>
    </w:p>
    <w:p w:rsidR="001C4411" w:rsidRPr="001C4411" w:rsidRDefault="001C4411" w:rsidP="001C4411">
      <w:pPr>
        <w:spacing w:after="0"/>
        <w:jc w:val="both"/>
        <w:rPr>
          <w:rFonts w:ascii="Arial" w:hAnsi="Arial" w:cs="Arial"/>
          <w:sz w:val="20"/>
          <w:szCs w:val="20"/>
        </w:rPr>
      </w:pPr>
      <w:r w:rsidRPr="001C4411">
        <w:rPr>
          <w:rFonts w:ascii="Arial" w:hAnsi="Arial" w:cs="Arial"/>
          <w:sz w:val="20"/>
          <w:szCs w:val="20"/>
        </w:rPr>
        <w:t>Darja Kocbek</w:t>
      </w:r>
    </w:p>
    <w:sectPr w:rsidR="001C4411" w:rsidRPr="001C4411" w:rsidSect="008125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201B70"/>
    <w:multiLevelType w:val="hybridMultilevel"/>
    <w:tmpl w:val="97CCFD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85539"/>
    <w:rsid w:val="00085539"/>
    <w:rsid w:val="001C4411"/>
    <w:rsid w:val="008125DD"/>
    <w:rsid w:val="009E54E7"/>
    <w:rsid w:val="00E2364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125DD"/>
  </w:style>
  <w:style w:type="paragraph" w:styleId="Naslov2">
    <w:name w:val="heading 2"/>
    <w:basedOn w:val="Navaden"/>
    <w:next w:val="Navaden"/>
    <w:link w:val="Naslov2Znak"/>
    <w:uiPriority w:val="9"/>
    <w:semiHidden/>
    <w:unhideWhenUsed/>
    <w:qFormat/>
    <w:rsid w:val="00E236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85539"/>
    <w:rPr>
      <w:color w:val="0000FF"/>
      <w:u w:val="single"/>
    </w:rPr>
  </w:style>
  <w:style w:type="character" w:styleId="Krepko">
    <w:name w:val="Strong"/>
    <w:basedOn w:val="Privzetapisavaodstavka"/>
    <w:uiPriority w:val="22"/>
    <w:qFormat/>
    <w:rsid w:val="009E54E7"/>
    <w:rPr>
      <w:b/>
      <w:bCs/>
    </w:rPr>
  </w:style>
  <w:style w:type="paragraph" w:styleId="Odstavekseznama">
    <w:name w:val="List Paragraph"/>
    <w:basedOn w:val="Navaden"/>
    <w:uiPriority w:val="34"/>
    <w:qFormat/>
    <w:rsid w:val="001C4411"/>
    <w:pPr>
      <w:ind w:left="720"/>
      <w:contextualSpacing/>
    </w:pPr>
  </w:style>
  <w:style w:type="character" w:customStyle="1" w:styleId="Naslov2Znak">
    <w:name w:val="Naslov 2 Znak"/>
    <w:basedOn w:val="Privzetapisavaodstavka"/>
    <w:link w:val="Naslov2"/>
    <w:uiPriority w:val="9"/>
    <w:semiHidden/>
    <w:rsid w:val="00E2364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E2364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236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sl/TXT/?uri=CELEX:02014R0651-201707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petition-policy/state-aid/legislation/horizontal-rules/risk-finance-aid_e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420</Words>
  <Characters>2397</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2021-12-07T16:48:00Z</dcterms:created>
  <dcterms:modified xsi:type="dcterms:W3CDTF">2021-12-07T17:03:00Z</dcterms:modified>
</cp:coreProperties>
</file>