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759" w:rsidRDefault="00271759" w:rsidP="00271759">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71759" w:rsidRPr="00465DEF" w:rsidRDefault="00271759" w:rsidP="00271759">
      <w:pPr>
        <w:pStyle w:val="Naslov2"/>
        <w:tabs>
          <w:tab w:val="left" w:pos="3120"/>
        </w:tabs>
        <w:jc w:val="center"/>
        <w:rPr>
          <w:rFonts w:ascii="Arial" w:hAnsi="Arial" w:cs="Arial"/>
          <w:b w:val="0"/>
          <w:bCs w:val="0"/>
          <w:i/>
          <w:iCs/>
          <w:sz w:val="22"/>
        </w:rPr>
      </w:pPr>
      <w:r w:rsidRPr="00465DEF">
        <w:rPr>
          <w:rFonts w:ascii="Arial" w:hAnsi="Arial" w:cs="Arial"/>
          <w:b w:val="0"/>
          <w:bCs w:val="0"/>
          <w:sz w:val="22"/>
        </w:rPr>
        <w:t>Slovensko gospodarsko in raziskovalno združenje, Bruselj</w:t>
      </w:r>
    </w:p>
    <w:p w:rsidR="00271759" w:rsidRDefault="00271759" w:rsidP="00271759">
      <w:pPr>
        <w:pBdr>
          <w:bottom w:val="single" w:sz="6" w:space="1" w:color="auto"/>
        </w:pBdr>
        <w:tabs>
          <w:tab w:val="left" w:pos="3120"/>
        </w:tabs>
        <w:jc w:val="center"/>
        <w:rPr>
          <w:sz w:val="16"/>
          <w:szCs w:val="16"/>
        </w:rPr>
      </w:pPr>
    </w:p>
    <w:p w:rsidR="00271759" w:rsidRPr="006148AA" w:rsidRDefault="00271759" w:rsidP="00271759">
      <w:pPr>
        <w:tabs>
          <w:tab w:val="left" w:pos="3120"/>
        </w:tabs>
        <w:jc w:val="center"/>
        <w:rPr>
          <w:rFonts w:ascii="Arial" w:hAnsi="Arial" w:cs="Arial"/>
          <w:b/>
        </w:rPr>
      </w:pPr>
      <w:r w:rsidRPr="006148AA">
        <w:rPr>
          <w:rFonts w:ascii="Arial" w:hAnsi="Arial" w:cs="Arial"/>
          <w:b/>
        </w:rPr>
        <w:t>Občasna informacija članom 18</w:t>
      </w:r>
      <w:r>
        <w:rPr>
          <w:rFonts w:ascii="Arial" w:hAnsi="Arial" w:cs="Arial"/>
          <w:b/>
        </w:rPr>
        <w:t>6</w:t>
      </w:r>
      <w:r w:rsidRPr="006148AA">
        <w:rPr>
          <w:rFonts w:ascii="Arial" w:hAnsi="Arial" w:cs="Arial"/>
          <w:b/>
        </w:rPr>
        <w:t xml:space="preserve"> – 2016</w:t>
      </w:r>
    </w:p>
    <w:p w:rsidR="00271759" w:rsidRPr="002C0720" w:rsidRDefault="00271759" w:rsidP="00271759">
      <w:pPr>
        <w:tabs>
          <w:tab w:val="left" w:pos="3120"/>
        </w:tabs>
        <w:jc w:val="center"/>
        <w:rPr>
          <w:rFonts w:ascii="Arial" w:hAnsi="Arial" w:cs="Arial"/>
          <w:b/>
        </w:rPr>
      </w:pPr>
      <w:r>
        <w:rPr>
          <w:rFonts w:ascii="Arial" w:hAnsi="Arial" w:cs="Arial"/>
          <w:b/>
        </w:rPr>
        <w:t>26</w:t>
      </w:r>
      <w:r w:rsidRPr="006148AA">
        <w:rPr>
          <w:rFonts w:ascii="Arial" w:hAnsi="Arial" w:cs="Arial"/>
          <w:b/>
        </w:rPr>
        <w:t>. december 2016</w:t>
      </w:r>
    </w:p>
    <w:p w:rsidR="00B715BC" w:rsidRDefault="00271759" w:rsidP="00271759">
      <w:pPr>
        <w:jc w:val="center"/>
        <w:rPr>
          <w:rFonts w:ascii="Arial" w:hAnsi="Arial" w:cs="Arial"/>
          <w:b/>
          <w:i/>
        </w:rPr>
      </w:pPr>
      <w:r>
        <w:rPr>
          <w:rFonts w:ascii="Arial" w:hAnsi="Arial" w:cs="Arial"/>
          <w:b/>
          <w:color w:val="993300"/>
          <w:sz w:val="32"/>
          <w:szCs w:val="32"/>
        </w:rPr>
        <w:t>Predlog za uporabo sistema DDV, ki je drugačen od pravil, ki zdaj veljajo v EU</w:t>
      </w:r>
    </w:p>
    <w:p w:rsidR="004940A0" w:rsidRPr="004940A0" w:rsidRDefault="004940A0" w:rsidP="004940A0">
      <w:pPr>
        <w:rPr>
          <w:rFonts w:ascii="Arial" w:hAnsi="Arial" w:cs="Arial"/>
          <w:b/>
          <w:i/>
        </w:rPr>
      </w:pPr>
      <w:r w:rsidRPr="004940A0">
        <w:rPr>
          <w:rFonts w:ascii="Arial" w:hAnsi="Arial" w:cs="Arial"/>
          <w:b/>
          <w:i/>
        </w:rPr>
        <w:t>Evropska komisija je predstavila predlog, ki bi državam članicam EU omogočil uporabo sistema DDV</w:t>
      </w:r>
      <w:r w:rsidR="00271759">
        <w:rPr>
          <w:rFonts w:ascii="Arial" w:hAnsi="Arial" w:cs="Arial"/>
          <w:b/>
          <w:i/>
        </w:rPr>
        <w:t>, ki je drugačen</w:t>
      </w:r>
      <w:r w:rsidRPr="004940A0">
        <w:rPr>
          <w:rFonts w:ascii="Arial" w:hAnsi="Arial" w:cs="Arial"/>
          <w:b/>
          <w:i/>
        </w:rPr>
        <w:t xml:space="preserve"> od pravil, ki trenutno veljajo v EU. Takšno odstopanje bi bilo zaradi zaščite notranjega trga možno samo pod posebnimi strogimi pogoji. Predlagani t. i. neobvezni splošni mehanizem obrnjene davčne obveznosti bi državam EU omogočil, da začasno uporabijo sistem, ki odstopa od trenutnega razdrobljenega plačevanja DDV. </w:t>
      </w:r>
    </w:p>
    <w:p w:rsidR="004940A0" w:rsidRPr="004940A0" w:rsidRDefault="004940A0" w:rsidP="004940A0">
      <w:pPr>
        <w:rPr>
          <w:rFonts w:ascii="Arial" w:hAnsi="Arial" w:cs="Arial"/>
          <w:sz w:val="20"/>
          <w:szCs w:val="20"/>
        </w:rPr>
      </w:pPr>
      <w:r>
        <w:rPr>
          <w:rFonts w:ascii="Arial" w:hAnsi="Arial" w:cs="Arial"/>
          <w:sz w:val="20"/>
          <w:szCs w:val="20"/>
        </w:rPr>
        <w:t>Evropska komisija predlaga, da bi p</w:t>
      </w:r>
      <w:r w:rsidRPr="004940A0">
        <w:rPr>
          <w:rFonts w:ascii="Arial" w:hAnsi="Arial" w:cs="Arial"/>
          <w:sz w:val="20"/>
          <w:szCs w:val="20"/>
        </w:rPr>
        <w:t>rodaje med podjetji v vrednosti nad 10.000 evrov bilo mogoče obračunati brez DDV, ki bi ga v celoti krila le končna stranka. Predlagano rešitev so predlagale nekatere države EU, ki menijo, da bi jim tak mehanizem pomagal zaustaviti nekatere čezmej</w:t>
      </w:r>
      <w:r w:rsidR="00D07B4B">
        <w:rPr>
          <w:rFonts w:ascii="Arial" w:hAnsi="Arial" w:cs="Arial"/>
          <w:sz w:val="20"/>
          <w:szCs w:val="20"/>
        </w:rPr>
        <w:t xml:space="preserve">ne davčne goljufije, znane </w:t>
      </w:r>
      <w:r w:rsidR="00D07B4B" w:rsidRPr="00B715BC">
        <w:rPr>
          <w:rFonts w:ascii="Arial" w:hAnsi="Arial" w:cs="Arial"/>
          <w:sz w:val="20"/>
          <w:szCs w:val="20"/>
        </w:rPr>
        <w:t>kot »</w:t>
      </w:r>
      <w:proofErr w:type="spellStart"/>
      <w:r w:rsidR="00D07B4B" w:rsidRPr="00B715BC">
        <w:rPr>
          <w:rFonts w:ascii="Arial" w:hAnsi="Arial" w:cs="Arial"/>
          <w:sz w:val="20"/>
          <w:szCs w:val="20"/>
        </w:rPr>
        <w:t>vrtiljačne</w:t>
      </w:r>
      <w:proofErr w:type="spellEnd"/>
      <w:r w:rsidR="00D07B4B" w:rsidRPr="00B715BC">
        <w:rPr>
          <w:rFonts w:ascii="Arial" w:hAnsi="Arial" w:cs="Arial"/>
          <w:sz w:val="20"/>
          <w:szCs w:val="20"/>
        </w:rPr>
        <w:t xml:space="preserve"> goljufije« (</w:t>
      </w:r>
      <w:proofErr w:type="spellStart"/>
      <w:r w:rsidR="00B715BC" w:rsidRPr="00B715BC">
        <w:rPr>
          <w:rFonts w:ascii="Arial" w:hAnsi="Arial" w:cs="Arial"/>
          <w:sz w:val="20"/>
          <w:szCs w:val="20"/>
        </w:rPr>
        <w:t>carousel</w:t>
      </w:r>
      <w:proofErr w:type="spellEnd"/>
      <w:r w:rsidR="00B715BC" w:rsidRPr="00B715BC">
        <w:rPr>
          <w:rFonts w:ascii="Arial" w:hAnsi="Arial" w:cs="Arial"/>
          <w:sz w:val="20"/>
          <w:szCs w:val="20"/>
        </w:rPr>
        <w:t xml:space="preserve"> </w:t>
      </w:r>
      <w:proofErr w:type="spellStart"/>
      <w:r w:rsidR="00B715BC" w:rsidRPr="00B715BC">
        <w:rPr>
          <w:rFonts w:ascii="Arial" w:hAnsi="Arial" w:cs="Arial"/>
          <w:sz w:val="20"/>
          <w:szCs w:val="20"/>
        </w:rPr>
        <w:t>fraud</w:t>
      </w:r>
      <w:proofErr w:type="spellEnd"/>
      <w:r w:rsidR="00B715BC" w:rsidRPr="00B715BC">
        <w:rPr>
          <w:rFonts w:ascii="Arial" w:hAnsi="Arial" w:cs="Arial"/>
          <w:sz w:val="20"/>
          <w:szCs w:val="20"/>
        </w:rPr>
        <w:t>)</w:t>
      </w:r>
      <w:r w:rsidRPr="00B715BC">
        <w:rPr>
          <w:rFonts w:ascii="Arial" w:hAnsi="Arial" w:cs="Arial"/>
          <w:sz w:val="20"/>
          <w:szCs w:val="20"/>
        </w:rPr>
        <w:t>, pri katerih</w:t>
      </w:r>
      <w:r w:rsidRPr="004940A0">
        <w:rPr>
          <w:rFonts w:ascii="Arial" w:hAnsi="Arial" w:cs="Arial"/>
          <w:sz w:val="20"/>
          <w:szCs w:val="20"/>
        </w:rPr>
        <w:t xml:space="preserve"> se DDV na določene transakcije obračuna, vendar nacionalni organi ne prejmejo prihodkov. </w:t>
      </w:r>
    </w:p>
    <w:p w:rsidR="00B459D4" w:rsidRDefault="004940A0" w:rsidP="004940A0">
      <w:pPr>
        <w:rPr>
          <w:rFonts w:ascii="Arial" w:hAnsi="Arial" w:cs="Arial"/>
          <w:sz w:val="20"/>
          <w:szCs w:val="20"/>
        </w:rPr>
      </w:pPr>
      <w:r w:rsidRPr="004940A0">
        <w:rPr>
          <w:rFonts w:ascii="Arial" w:hAnsi="Arial" w:cs="Arial"/>
          <w:sz w:val="20"/>
          <w:szCs w:val="20"/>
        </w:rPr>
        <w:t>Da bi predlagane sp</w:t>
      </w:r>
      <w:r>
        <w:rPr>
          <w:rFonts w:ascii="Arial" w:hAnsi="Arial" w:cs="Arial"/>
          <w:sz w:val="20"/>
          <w:szCs w:val="20"/>
        </w:rPr>
        <w:t>remembe direktive o DDV</w:t>
      </w:r>
      <w:r w:rsidRPr="004940A0">
        <w:rPr>
          <w:rFonts w:ascii="Arial" w:hAnsi="Arial" w:cs="Arial"/>
          <w:sz w:val="20"/>
          <w:szCs w:val="20"/>
        </w:rPr>
        <w:t xml:space="preserve"> postale veljavna zakonodaja, jih morajo soglasno potrditi vse države članice EU. </w:t>
      </w:r>
    </w:p>
    <w:p w:rsidR="00D07B4B" w:rsidRPr="00B715BC" w:rsidRDefault="00D07B4B" w:rsidP="004940A0">
      <w:pPr>
        <w:rPr>
          <w:rFonts w:ascii="Arial" w:hAnsi="Arial" w:cs="Arial"/>
          <w:b/>
          <w:sz w:val="20"/>
          <w:szCs w:val="20"/>
        </w:rPr>
      </w:pPr>
      <w:r w:rsidRPr="00B715BC">
        <w:rPr>
          <w:rFonts w:ascii="Arial" w:hAnsi="Arial" w:cs="Arial"/>
          <w:b/>
          <w:sz w:val="20"/>
          <w:szCs w:val="20"/>
        </w:rPr>
        <w:t>Slika 1: Predstavitev akcijskega načrta za DDV:</w:t>
      </w:r>
    </w:p>
    <w:p w:rsidR="00D07B4B" w:rsidRDefault="00D07B4B" w:rsidP="004940A0">
      <w:pPr>
        <w:rPr>
          <w:rFonts w:ascii="Arial" w:hAnsi="Arial" w:cs="Arial"/>
          <w:sz w:val="20"/>
          <w:szCs w:val="20"/>
        </w:rPr>
      </w:pPr>
      <w:r>
        <w:rPr>
          <w:noProof/>
          <w:lang w:eastAsia="sl-SI"/>
        </w:rPr>
        <w:drawing>
          <wp:inline distT="0" distB="0" distL="0" distR="0">
            <wp:extent cx="5760720" cy="2282685"/>
            <wp:effectExtent l="19050" t="0" r="0" b="0"/>
            <wp:docPr id="1" name="Slika 1" descr="acti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on plan"/>
                    <pic:cNvPicPr>
                      <a:picLocks noChangeAspect="1" noChangeArrowheads="1"/>
                    </pic:cNvPicPr>
                  </pic:nvPicPr>
                  <pic:blipFill>
                    <a:blip r:embed="rId6" cstate="print"/>
                    <a:srcRect/>
                    <a:stretch>
                      <a:fillRect/>
                    </a:stretch>
                  </pic:blipFill>
                  <pic:spPr bwMode="auto">
                    <a:xfrm>
                      <a:off x="0" y="0"/>
                      <a:ext cx="5760720" cy="2282685"/>
                    </a:xfrm>
                    <a:prstGeom prst="rect">
                      <a:avLst/>
                    </a:prstGeom>
                    <a:noFill/>
                    <a:ln w="9525">
                      <a:noFill/>
                      <a:miter lim="800000"/>
                      <a:headEnd/>
                      <a:tailEnd/>
                    </a:ln>
                  </pic:spPr>
                </pic:pic>
              </a:graphicData>
            </a:graphic>
          </wp:inline>
        </w:drawing>
      </w:r>
    </w:p>
    <w:p w:rsidR="00D07B4B" w:rsidRDefault="00D07B4B" w:rsidP="004940A0">
      <w:pPr>
        <w:rPr>
          <w:rFonts w:ascii="Arial" w:hAnsi="Arial" w:cs="Arial"/>
          <w:sz w:val="20"/>
          <w:szCs w:val="20"/>
        </w:rPr>
      </w:pPr>
      <w:r>
        <w:rPr>
          <w:rFonts w:ascii="Arial" w:hAnsi="Arial" w:cs="Arial"/>
          <w:sz w:val="20"/>
          <w:szCs w:val="20"/>
        </w:rPr>
        <w:t>Vir: Evropska komisija</w:t>
      </w:r>
    </w:p>
    <w:p w:rsidR="004940A0" w:rsidRPr="00B715BC" w:rsidRDefault="004940A0" w:rsidP="004940A0">
      <w:pPr>
        <w:rPr>
          <w:rFonts w:ascii="Arial" w:hAnsi="Arial" w:cs="Arial"/>
          <w:b/>
          <w:sz w:val="20"/>
          <w:szCs w:val="20"/>
        </w:rPr>
      </w:pPr>
      <w:r w:rsidRPr="00B715BC">
        <w:rPr>
          <w:rFonts w:ascii="Arial" w:hAnsi="Arial" w:cs="Arial"/>
          <w:b/>
          <w:sz w:val="20"/>
          <w:szCs w:val="20"/>
        </w:rPr>
        <w:lastRenderedPageBreak/>
        <w:t>Koristne informacije:</w:t>
      </w:r>
    </w:p>
    <w:p w:rsidR="004940A0" w:rsidRPr="00B715BC" w:rsidRDefault="004940A0" w:rsidP="00B715BC">
      <w:pPr>
        <w:pStyle w:val="Odstavekseznama"/>
        <w:numPr>
          <w:ilvl w:val="0"/>
          <w:numId w:val="1"/>
        </w:numPr>
        <w:rPr>
          <w:rFonts w:ascii="Arial" w:hAnsi="Arial" w:cs="Arial"/>
          <w:sz w:val="20"/>
          <w:szCs w:val="20"/>
        </w:rPr>
      </w:pPr>
      <w:r w:rsidRPr="00B715BC">
        <w:rPr>
          <w:rFonts w:ascii="Arial" w:hAnsi="Arial" w:cs="Arial"/>
          <w:sz w:val="20"/>
          <w:szCs w:val="20"/>
        </w:rPr>
        <w:t>Predlog sprememb direktive:</w:t>
      </w:r>
    </w:p>
    <w:p w:rsidR="004940A0" w:rsidRPr="00B715BC" w:rsidRDefault="004940A0" w:rsidP="00B715BC">
      <w:pPr>
        <w:pStyle w:val="Odstavekseznama"/>
        <w:numPr>
          <w:ilvl w:val="0"/>
          <w:numId w:val="1"/>
        </w:numPr>
        <w:rPr>
          <w:rFonts w:ascii="Arial" w:hAnsi="Arial" w:cs="Arial"/>
          <w:sz w:val="20"/>
          <w:szCs w:val="20"/>
        </w:rPr>
      </w:pPr>
      <w:hyperlink r:id="rId7" w:history="1">
        <w:r w:rsidRPr="00B715BC">
          <w:rPr>
            <w:rStyle w:val="Hiperpovezava"/>
            <w:rFonts w:ascii="Arial" w:hAnsi="Arial" w:cs="Arial"/>
            <w:sz w:val="20"/>
            <w:szCs w:val="20"/>
          </w:rPr>
          <w:t>https://ec.europa.eu/taxation_customs/sites/taxation/files/com_2016_811_en.pdf</w:t>
        </w:r>
      </w:hyperlink>
    </w:p>
    <w:p w:rsidR="004940A0" w:rsidRPr="00B715BC" w:rsidRDefault="004940A0" w:rsidP="00B715BC">
      <w:pPr>
        <w:pStyle w:val="Odstavekseznama"/>
        <w:numPr>
          <w:ilvl w:val="0"/>
          <w:numId w:val="1"/>
        </w:numPr>
        <w:rPr>
          <w:rFonts w:ascii="Arial" w:hAnsi="Arial" w:cs="Arial"/>
          <w:sz w:val="20"/>
          <w:szCs w:val="20"/>
        </w:rPr>
      </w:pPr>
      <w:r w:rsidRPr="00B715BC">
        <w:rPr>
          <w:rFonts w:ascii="Arial" w:hAnsi="Arial" w:cs="Arial"/>
          <w:sz w:val="20"/>
          <w:szCs w:val="20"/>
        </w:rPr>
        <w:t>Spletna stran o akcijskem načrtu za DDV:</w:t>
      </w:r>
    </w:p>
    <w:p w:rsidR="004940A0" w:rsidRPr="00B715BC" w:rsidRDefault="004940A0" w:rsidP="00B715BC">
      <w:pPr>
        <w:pStyle w:val="Odstavekseznama"/>
        <w:numPr>
          <w:ilvl w:val="0"/>
          <w:numId w:val="1"/>
        </w:numPr>
        <w:rPr>
          <w:rFonts w:ascii="Arial" w:hAnsi="Arial" w:cs="Arial"/>
          <w:sz w:val="20"/>
          <w:szCs w:val="20"/>
        </w:rPr>
      </w:pPr>
      <w:hyperlink r:id="rId8" w:history="1">
        <w:r w:rsidRPr="00B715BC">
          <w:rPr>
            <w:rStyle w:val="Hiperpovezava"/>
            <w:rFonts w:ascii="Arial" w:hAnsi="Arial" w:cs="Arial"/>
            <w:sz w:val="20"/>
            <w:szCs w:val="20"/>
          </w:rPr>
          <w:t>https://ec.europa.eu/taxation_customs/business/vat/action-plan-vat_en</w:t>
        </w:r>
      </w:hyperlink>
    </w:p>
    <w:p w:rsidR="004940A0" w:rsidRDefault="004940A0" w:rsidP="004940A0">
      <w:pPr>
        <w:rPr>
          <w:rFonts w:ascii="Arial" w:hAnsi="Arial" w:cs="Arial"/>
          <w:sz w:val="20"/>
          <w:szCs w:val="20"/>
        </w:rPr>
      </w:pPr>
      <w:r>
        <w:rPr>
          <w:rFonts w:ascii="Arial" w:hAnsi="Arial" w:cs="Arial"/>
          <w:sz w:val="20"/>
          <w:szCs w:val="20"/>
        </w:rPr>
        <w:t>Pripravila:</w:t>
      </w:r>
    </w:p>
    <w:p w:rsidR="004940A0" w:rsidRPr="004940A0" w:rsidRDefault="004940A0" w:rsidP="004940A0">
      <w:pPr>
        <w:rPr>
          <w:rFonts w:ascii="Arial" w:hAnsi="Arial" w:cs="Arial"/>
          <w:sz w:val="20"/>
          <w:szCs w:val="20"/>
        </w:rPr>
      </w:pPr>
      <w:r>
        <w:rPr>
          <w:rFonts w:ascii="Arial" w:hAnsi="Arial" w:cs="Arial"/>
          <w:sz w:val="20"/>
          <w:szCs w:val="20"/>
        </w:rPr>
        <w:t>Darja Kocbek</w:t>
      </w:r>
    </w:p>
    <w:sectPr w:rsidR="004940A0" w:rsidRPr="004940A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15167F"/>
    <w:multiLevelType w:val="hybridMultilevel"/>
    <w:tmpl w:val="6846D5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40A0"/>
    <w:rsid w:val="001B29DF"/>
    <w:rsid w:val="00271759"/>
    <w:rsid w:val="004940A0"/>
    <w:rsid w:val="00B459D4"/>
    <w:rsid w:val="00B715BC"/>
    <w:rsid w:val="00D07B4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link w:val="Naslov2Znak"/>
    <w:uiPriority w:val="9"/>
    <w:qFormat/>
    <w:rsid w:val="00271759"/>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6024342239msonormal">
    <w:name w:val="yiv6024342239msonormal"/>
    <w:basedOn w:val="Navaden"/>
    <w:rsid w:val="004940A0"/>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4940A0"/>
    <w:rPr>
      <w:color w:val="0000FF" w:themeColor="hyperlink"/>
      <w:u w:val="single"/>
    </w:rPr>
  </w:style>
  <w:style w:type="paragraph" w:styleId="Besedilooblaka">
    <w:name w:val="Balloon Text"/>
    <w:basedOn w:val="Navaden"/>
    <w:link w:val="BesedilooblakaZnak"/>
    <w:uiPriority w:val="99"/>
    <w:semiHidden/>
    <w:unhideWhenUsed/>
    <w:rsid w:val="00D07B4B"/>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07B4B"/>
    <w:rPr>
      <w:rFonts w:ascii="Tahoma" w:hAnsi="Tahoma" w:cs="Tahoma"/>
      <w:sz w:val="16"/>
      <w:szCs w:val="16"/>
    </w:rPr>
  </w:style>
  <w:style w:type="paragraph" w:styleId="Odstavekseznama">
    <w:name w:val="List Paragraph"/>
    <w:basedOn w:val="Navaden"/>
    <w:uiPriority w:val="34"/>
    <w:qFormat/>
    <w:rsid w:val="00B715BC"/>
    <w:pPr>
      <w:ind w:left="720"/>
      <w:contextualSpacing/>
    </w:pPr>
  </w:style>
  <w:style w:type="character" w:customStyle="1" w:styleId="Naslov2Znak">
    <w:name w:val="Naslov 2 Znak"/>
    <w:basedOn w:val="Privzetapisavaodstavka"/>
    <w:link w:val="Naslov2"/>
    <w:uiPriority w:val="9"/>
    <w:rsid w:val="00271759"/>
    <w:rPr>
      <w:rFonts w:ascii="Times New Roman" w:eastAsia="Times New Roman" w:hAnsi="Times New Roman" w:cs="Times New Roman"/>
      <w:b/>
      <w:bCs/>
      <w:sz w:val="36"/>
      <w:szCs w:val="36"/>
      <w:lang w:eastAsia="sl-SI"/>
    </w:rPr>
  </w:style>
</w:styles>
</file>

<file path=word/webSettings.xml><?xml version="1.0" encoding="utf-8"?>
<w:webSettings xmlns:r="http://schemas.openxmlformats.org/officeDocument/2006/relationships" xmlns:w="http://schemas.openxmlformats.org/wordprocessingml/2006/main">
  <w:divs>
    <w:div w:id="17984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taxation_customs/business/vat/action-plan-vat_en" TargetMode="External"/><Relationship Id="rId3" Type="http://schemas.openxmlformats.org/officeDocument/2006/relationships/settings" Target="settings.xml"/><Relationship Id="rId7" Type="http://schemas.openxmlformats.org/officeDocument/2006/relationships/hyperlink" Target="https://ec.europa.eu/taxation_customs/sites/taxation/files/com_2016_811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257</Words>
  <Characters>1469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2016-12-21T16:48:00Z</dcterms:created>
  <dcterms:modified xsi:type="dcterms:W3CDTF">2016-12-21T17:18:00Z</dcterms:modified>
</cp:coreProperties>
</file>