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97E" w:rsidRPr="00083714" w:rsidRDefault="0070697E" w:rsidP="0070697E">
      <w:pPr>
        <w:tabs>
          <w:tab w:val="left" w:pos="2520"/>
          <w:tab w:val="left" w:pos="2700"/>
          <w:tab w:val="left" w:pos="3120"/>
        </w:tabs>
        <w:spacing w:before="240" w:after="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97E" w:rsidRDefault="0070697E" w:rsidP="0070697E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70697E" w:rsidRPr="00083714" w:rsidRDefault="0070697E" w:rsidP="0070697E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70697E" w:rsidRPr="00083714" w:rsidRDefault="0070697E" w:rsidP="0070697E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70697E" w:rsidRDefault="0070697E" w:rsidP="0070697E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</w:p>
    <w:p w:rsidR="0070697E" w:rsidRDefault="0070697E" w:rsidP="0070697E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Občasna informacija članom 186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70697E" w:rsidRDefault="0070697E" w:rsidP="0070697E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14. december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70697E" w:rsidRPr="00083714" w:rsidRDefault="0070697E" w:rsidP="0070697E">
      <w:pPr>
        <w:tabs>
          <w:tab w:val="left" w:pos="3120"/>
        </w:tabs>
        <w:spacing w:after="0"/>
        <w:jc w:val="center"/>
        <w:rPr>
          <w:b/>
        </w:rPr>
      </w:pPr>
    </w:p>
    <w:p w:rsidR="00D219AF" w:rsidRDefault="0070697E" w:rsidP="0070697E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Strategija Evropske komisije za trajnostno in pametno mobilnost</w:t>
      </w:r>
    </w:p>
    <w:p w:rsidR="002722C7" w:rsidRPr="00301071" w:rsidRDefault="00213148" w:rsidP="00301071">
      <w:pPr>
        <w:jc w:val="both"/>
        <w:rPr>
          <w:rFonts w:ascii="Arial" w:hAnsi="Arial" w:cs="Arial"/>
          <w:b/>
          <w:i/>
        </w:rPr>
      </w:pPr>
      <w:r w:rsidRPr="00301071">
        <w:rPr>
          <w:rFonts w:ascii="Arial" w:hAnsi="Arial" w:cs="Arial"/>
          <w:b/>
          <w:i/>
        </w:rPr>
        <w:t xml:space="preserve">Evropska komisija je predstavila strategijo za trajnostno in pametno mobilnost </w:t>
      </w:r>
      <w:r w:rsidR="005D6324" w:rsidRPr="00301071">
        <w:rPr>
          <w:rFonts w:ascii="Arial" w:hAnsi="Arial" w:cs="Arial"/>
          <w:b/>
          <w:i/>
        </w:rPr>
        <w:t>skupaj z akcijskim načrtom. V strategiji</w:t>
      </w:r>
      <w:r w:rsidRPr="00301071">
        <w:rPr>
          <w:rFonts w:ascii="Arial" w:hAnsi="Arial" w:cs="Arial"/>
          <w:b/>
          <w:i/>
        </w:rPr>
        <w:t xml:space="preserve"> predvideva, da morajo postati  vsi načini prevoza bolj trajnostni, pri čemer morajo biti zelene alternative široko dostopne, obstajati pa morajo tudi ustrezne spodbude za hitrejši prehod.  Za uresničitev ciljev je v strategiji določenih 82 pobud na 10 ključnih področjih ukrepanja. Člani lahko dobijo podrobnejše informacije na SBRA.</w:t>
      </w:r>
    </w:p>
    <w:p w:rsidR="005D6324" w:rsidRPr="00301071" w:rsidRDefault="00301071" w:rsidP="00301071">
      <w:pPr>
        <w:jc w:val="both"/>
        <w:rPr>
          <w:rFonts w:ascii="Arial" w:hAnsi="Arial" w:cs="Arial"/>
          <w:b/>
          <w:sz w:val="20"/>
          <w:szCs w:val="20"/>
        </w:rPr>
      </w:pPr>
      <w:r w:rsidRPr="00301071">
        <w:rPr>
          <w:rFonts w:ascii="Arial" w:hAnsi="Arial" w:cs="Arial"/>
          <w:b/>
          <w:sz w:val="20"/>
          <w:szCs w:val="20"/>
        </w:rPr>
        <w:t>K</w:t>
      </w:r>
      <w:r w:rsidR="005D6324" w:rsidRPr="00301071">
        <w:rPr>
          <w:rFonts w:ascii="Arial" w:hAnsi="Arial" w:cs="Arial"/>
          <w:b/>
          <w:sz w:val="20"/>
          <w:szCs w:val="20"/>
        </w:rPr>
        <w:t>ljučn</w:t>
      </w:r>
      <w:r w:rsidRPr="00301071">
        <w:rPr>
          <w:rFonts w:ascii="Arial" w:hAnsi="Arial" w:cs="Arial"/>
          <w:b/>
          <w:sz w:val="20"/>
          <w:szCs w:val="20"/>
        </w:rPr>
        <w:t xml:space="preserve">a </w:t>
      </w:r>
      <w:r w:rsidR="005D6324" w:rsidRPr="00301071">
        <w:rPr>
          <w:rFonts w:ascii="Arial" w:hAnsi="Arial" w:cs="Arial"/>
          <w:b/>
          <w:sz w:val="20"/>
          <w:szCs w:val="20"/>
        </w:rPr>
        <w:t>področ</w:t>
      </w:r>
      <w:r w:rsidRPr="00301071">
        <w:rPr>
          <w:rFonts w:ascii="Arial" w:hAnsi="Arial" w:cs="Arial"/>
          <w:b/>
          <w:sz w:val="20"/>
          <w:szCs w:val="20"/>
        </w:rPr>
        <w:t>ja</w:t>
      </w:r>
      <w:r w:rsidR="005D6324" w:rsidRPr="00301071">
        <w:rPr>
          <w:rFonts w:ascii="Arial" w:hAnsi="Arial" w:cs="Arial"/>
          <w:b/>
          <w:sz w:val="20"/>
          <w:szCs w:val="20"/>
        </w:rPr>
        <w:t xml:space="preserve"> ukrepanja</w:t>
      </w:r>
    </w:p>
    <w:p w:rsidR="00EF61BD" w:rsidRPr="00301071" w:rsidRDefault="00EF61BD" w:rsidP="00301071">
      <w:pPr>
        <w:jc w:val="both"/>
        <w:rPr>
          <w:rFonts w:ascii="Arial" w:hAnsi="Arial" w:cs="Arial"/>
          <w:b/>
          <w:sz w:val="20"/>
          <w:szCs w:val="20"/>
        </w:rPr>
      </w:pPr>
      <w:r w:rsidRPr="00301071">
        <w:rPr>
          <w:rFonts w:ascii="Arial" w:hAnsi="Arial" w:cs="Arial"/>
          <w:b/>
          <w:sz w:val="20"/>
          <w:szCs w:val="20"/>
        </w:rPr>
        <w:t>Tabela 1: Trajnostni promet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EF61BD" w:rsidRPr="00301071" w:rsidTr="00EF61BD">
        <w:tc>
          <w:tcPr>
            <w:tcW w:w="9212" w:type="dxa"/>
          </w:tcPr>
          <w:p w:rsidR="00EF61BD" w:rsidRPr="00301071" w:rsidRDefault="00301071" w:rsidP="003010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1071">
              <w:rPr>
                <w:rFonts w:ascii="Arial" w:hAnsi="Arial" w:cs="Arial"/>
                <w:b/>
                <w:sz w:val="20"/>
                <w:szCs w:val="20"/>
              </w:rPr>
              <w:t>Prehod na trajnosten promet</w:t>
            </w:r>
            <w:r w:rsidR="00EF61BD" w:rsidRPr="00301071">
              <w:rPr>
                <w:rFonts w:ascii="Arial" w:hAnsi="Arial" w:cs="Arial"/>
                <w:b/>
                <w:sz w:val="20"/>
                <w:szCs w:val="20"/>
              </w:rPr>
              <w:t xml:space="preserve"> v praksi pomeni:</w:t>
            </w:r>
          </w:p>
        </w:tc>
      </w:tr>
      <w:tr w:rsidR="00EF61BD" w:rsidRPr="00301071" w:rsidTr="00EF61BD">
        <w:tc>
          <w:tcPr>
            <w:tcW w:w="9212" w:type="dxa"/>
          </w:tcPr>
          <w:p w:rsidR="00EF61BD" w:rsidRPr="00301071" w:rsidRDefault="00EF61BD" w:rsidP="00301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071">
              <w:rPr>
                <w:rFonts w:ascii="Arial" w:hAnsi="Arial" w:cs="Arial"/>
                <w:sz w:val="20"/>
                <w:szCs w:val="20"/>
              </w:rPr>
              <w:t xml:space="preserve">pospešeno uvajanje </w:t>
            </w:r>
            <w:proofErr w:type="spellStart"/>
            <w:r w:rsidRPr="00301071">
              <w:rPr>
                <w:rFonts w:ascii="Arial" w:hAnsi="Arial" w:cs="Arial"/>
                <w:sz w:val="20"/>
                <w:szCs w:val="20"/>
              </w:rPr>
              <w:t>brezemisijskih</w:t>
            </w:r>
            <w:proofErr w:type="spellEnd"/>
            <w:r w:rsidRPr="00301071">
              <w:rPr>
                <w:rFonts w:ascii="Arial" w:hAnsi="Arial" w:cs="Arial"/>
                <w:sz w:val="20"/>
                <w:szCs w:val="20"/>
              </w:rPr>
              <w:t xml:space="preserve"> vozil, plovil in letal, goriv iz obnovljivih virov in </w:t>
            </w:r>
            <w:proofErr w:type="spellStart"/>
            <w:r w:rsidRPr="00301071">
              <w:rPr>
                <w:rFonts w:ascii="Arial" w:hAnsi="Arial" w:cs="Arial"/>
                <w:sz w:val="20"/>
                <w:szCs w:val="20"/>
              </w:rPr>
              <w:t>nizkoogljičnih</w:t>
            </w:r>
            <w:proofErr w:type="spellEnd"/>
            <w:r w:rsidRPr="00301071">
              <w:rPr>
                <w:rFonts w:ascii="Arial" w:hAnsi="Arial" w:cs="Arial"/>
                <w:sz w:val="20"/>
                <w:szCs w:val="20"/>
              </w:rPr>
              <w:t xml:space="preserve"> goriv ter infrastrukture, povezane z njimi, npr. z namestitvijo treh milijonov javnih polnilnih mest do leta 2030</w:t>
            </w:r>
          </w:p>
        </w:tc>
      </w:tr>
      <w:tr w:rsidR="00EF61BD" w:rsidRPr="00301071" w:rsidTr="00EF61BD">
        <w:tc>
          <w:tcPr>
            <w:tcW w:w="9212" w:type="dxa"/>
          </w:tcPr>
          <w:p w:rsidR="00EF61BD" w:rsidRPr="00301071" w:rsidRDefault="00EF61BD" w:rsidP="00301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071">
              <w:rPr>
                <w:rFonts w:ascii="Arial" w:hAnsi="Arial" w:cs="Arial"/>
                <w:sz w:val="20"/>
                <w:szCs w:val="20"/>
              </w:rPr>
              <w:t xml:space="preserve">ustvarjanje </w:t>
            </w:r>
            <w:proofErr w:type="spellStart"/>
            <w:r w:rsidRPr="00301071">
              <w:rPr>
                <w:rFonts w:ascii="Arial" w:hAnsi="Arial" w:cs="Arial"/>
                <w:sz w:val="20"/>
                <w:szCs w:val="20"/>
              </w:rPr>
              <w:t>brezemisijskih</w:t>
            </w:r>
            <w:proofErr w:type="spellEnd"/>
            <w:r w:rsidRPr="00301071">
              <w:rPr>
                <w:rFonts w:ascii="Arial" w:hAnsi="Arial" w:cs="Arial"/>
                <w:sz w:val="20"/>
                <w:szCs w:val="20"/>
              </w:rPr>
              <w:t xml:space="preserve"> letališč in pristanišč, npr. z novimi pobudami za spodbujanje trajnostnih goriv v letalstvu in pomorstvu</w:t>
            </w:r>
          </w:p>
        </w:tc>
      </w:tr>
      <w:tr w:rsidR="00EF61BD" w:rsidRPr="00301071" w:rsidTr="00EF61BD">
        <w:tc>
          <w:tcPr>
            <w:tcW w:w="9212" w:type="dxa"/>
          </w:tcPr>
          <w:p w:rsidR="00EF61BD" w:rsidRPr="00301071" w:rsidRDefault="00EF61BD" w:rsidP="00301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071">
              <w:rPr>
                <w:rFonts w:ascii="Arial" w:hAnsi="Arial" w:cs="Arial"/>
                <w:sz w:val="20"/>
                <w:szCs w:val="20"/>
              </w:rPr>
              <w:t>zdravo in trajnostno medmestno in mestno mobilnost, npr. s podvojitvijo obsega prometa na železniških povezavah za visoke hitrosti in gradnjo dodatne kolesarske infrastrukture v naslednjih desetih letih</w:t>
            </w:r>
          </w:p>
        </w:tc>
      </w:tr>
      <w:tr w:rsidR="00EF61BD" w:rsidRPr="00301071" w:rsidTr="00EF61BD">
        <w:tc>
          <w:tcPr>
            <w:tcW w:w="9212" w:type="dxa"/>
          </w:tcPr>
          <w:p w:rsidR="00EF61BD" w:rsidRPr="00301071" w:rsidRDefault="00EF61BD" w:rsidP="00301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1071">
              <w:rPr>
                <w:rFonts w:ascii="Arial" w:hAnsi="Arial" w:cs="Arial"/>
                <w:sz w:val="20"/>
                <w:szCs w:val="20"/>
              </w:rPr>
              <w:t>ekologizacijo</w:t>
            </w:r>
            <w:proofErr w:type="spellEnd"/>
            <w:r w:rsidRPr="00301071">
              <w:rPr>
                <w:rFonts w:ascii="Arial" w:hAnsi="Arial" w:cs="Arial"/>
                <w:sz w:val="20"/>
                <w:szCs w:val="20"/>
              </w:rPr>
              <w:t xml:space="preserve"> tovornega prometa, npr. s podvojitvijo obsega železniškega tovornega prometa do leta 2050</w:t>
            </w:r>
          </w:p>
        </w:tc>
      </w:tr>
      <w:tr w:rsidR="00EF61BD" w:rsidRPr="00301071" w:rsidTr="00EF61BD">
        <w:tc>
          <w:tcPr>
            <w:tcW w:w="9212" w:type="dxa"/>
          </w:tcPr>
          <w:p w:rsidR="00EF61BD" w:rsidRPr="00301071" w:rsidRDefault="00EF61BD" w:rsidP="00301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071">
              <w:rPr>
                <w:rFonts w:ascii="Arial" w:hAnsi="Arial" w:cs="Arial"/>
                <w:sz w:val="20"/>
                <w:szCs w:val="20"/>
              </w:rPr>
              <w:t>oblikovanje cen ogljika in boljše spodbude za uporabnike, npr. z izvajanjem celovitega sklopa ukrepov za doseganje pravičnega in učinkovitega oblikovanja cen v celotnem prometnem sektorju</w:t>
            </w:r>
          </w:p>
        </w:tc>
      </w:tr>
    </w:tbl>
    <w:p w:rsidR="008A5590" w:rsidRDefault="008A5590" w:rsidP="00301071">
      <w:pPr>
        <w:jc w:val="both"/>
        <w:rPr>
          <w:rFonts w:ascii="Arial" w:hAnsi="Arial" w:cs="Arial"/>
          <w:sz w:val="20"/>
          <w:szCs w:val="20"/>
        </w:rPr>
      </w:pPr>
    </w:p>
    <w:p w:rsidR="00EF61BD" w:rsidRPr="008A5590" w:rsidRDefault="00A65153" w:rsidP="00301071">
      <w:pPr>
        <w:jc w:val="both"/>
        <w:rPr>
          <w:rFonts w:ascii="Arial" w:hAnsi="Arial" w:cs="Arial"/>
          <w:b/>
          <w:sz w:val="20"/>
          <w:szCs w:val="20"/>
        </w:rPr>
      </w:pPr>
      <w:r w:rsidRPr="008A5590">
        <w:rPr>
          <w:rFonts w:ascii="Arial" w:hAnsi="Arial" w:cs="Arial"/>
          <w:b/>
          <w:sz w:val="20"/>
          <w:szCs w:val="20"/>
        </w:rPr>
        <w:t>Tabela 2: Pameten promet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A65153" w:rsidRPr="00301071" w:rsidTr="00A65153">
        <w:tc>
          <w:tcPr>
            <w:tcW w:w="9212" w:type="dxa"/>
          </w:tcPr>
          <w:p w:rsidR="00A65153" w:rsidRPr="003B5E52" w:rsidRDefault="00A65153" w:rsidP="003B5E5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5E52">
              <w:rPr>
                <w:rFonts w:ascii="Arial" w:hAnsi="Arial" w:cs="Arial"/>
                <w:b/>
                <w:sz w:val="20"/>
                <w:szCs w:val="20"/>
              </w:rPr>
              <w:t>Gibanje potnikov in tovora bodo v prihodnosti zaznamovale inovacije in digitalizacija. V strategiji sta predvidena</w:t>
            </w:r>
            <w:r w:rsidR="003B5E52" w:rsidRPr="003B5E52">
              <w:rPr>
                <w:rFonts w:ascii="Arial" w:hAnsi="Arial" w:cs="Arial"/>
                <w:b/>
                <w:sz w:val="20"/>
                <w:szCs w:val="20"/>
              </w:rPr>
              <w:t xml:space="preserve"> dva </w:t>
            </w:r>
            <w:r w:rsidR="003B5E52">
              <w:rPr>
                <w:rFonts w:ascii="Arial" w:hAnsi="Arial" w:cs="Arial"/>
                <w:b/>
                <w:sz w:val="20"/>
                <w:szCs w:val="20"/>
              </w:rPr>
              <w:t>ukrepa</w:t>
            </w:r>
            <w:r w:rsidRPr="003B5E5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A65153" w:rsidRPr="00301071" w:rsidTr="00A65153">
        <w:tc>
          <w:tcPr>
            <w:tcW w:w="9212" w:type="dxa"/>
          </w:tcPr>
          <w:p w:rsidR="00A65153" w:rsidRPr="00301071" w:rsidRDefault="00A65153" w:rsidP="00301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071">
              <w:rPr>
                <w:rFonts w:ascii="Arial" w:hAnsi="Arial" w:cs="Arial"/>
                <w:sz w:val="20"/>
                <w:szCs w:val="20"/>
              </w:rPr>
              <w:t xml:space="preserve">uresničitev povezane in avtomatizirane </w:t>
            </w:r>
            <w:proofErr w:type="spellStart"/>
            <w:r w:rsidRPr="00301071">
              <w:rPr>
                <w:rFonts w:ascii="Arial" w:hAnsi="Arial" w:cs="Arial"/>
                <w:sz w:val="20"/>
                <w:szCs w:val="20"/>
              </w:rPr>
              <w:t>večmodalne</w:t>
            </w:r>
            <w:proofErr w:type="spellEnd"/>
            <w:r w:rsidRPr="00301071">
              <w:rPr>
                <w:rFonts w:ascii="Arial" w:hAnsi="Arial" w:cs="Arial"/>
                <w:sz w:val="20"/>
                <w:szCs w:val="20"/>
              </w:rPr>
              <w:t xml:space="preserve"> mobilnosti, npr. z omogočanjem nakupa vozovnic za </w:t>
            </w:r>
            <w:proofErr w:type="spellStart"/>
            <w:r w:rsidRPr="00301071">
              <w:rPr>
                <w:rFonts w:ascii="Arial" w:hAnsi="Arial" w:cs="Arial"/>
                <w:sz w:val="20"/>
                <w:szCs w:val="20"/>
              </w:rPr>
              <w:t>večmodalna</w:t>
            </w:r>
            <w:proofErr w:type="spellEnd"/>
            <w:r w:rsidRPr="00301071">
              <w:rPr>
                <w:rFonts w:ascii="Arial" w:hAnsi="Arial" w:cs="Arial"/>
                <w:sz w:val="20"/>
                <w:szCs w:val="20"/>
              </w:rPr>
              <w:t xml:space="preserve"> potovanja in z nemotenim </w:t>
            </w:r>
            <w:proofErr w:type="spellStart"/>
            <w:r w:rsidRPr="00301071">
              <w:rPr>
                <w:rFonts w:ascii="Arial" w:hAnsi="Arial" w:cs="Arial"/>
                <w:sz w:val="20"/>
                <w:szCs w:val="20"/>
              </w:rPr>
              <w:t>večmodalnim</w:t>
            </w:r>
            <w:proofErr w:type="spellEnd"/>
            <w:r w:rsidRPr="00301071">
              <w:rPr>
                <w:rFonts w:ascii="Arial" w:hAnsi="Arial" w:cs="Arial"/>
                <w:sz w:val="20"/>
                <w:szCs w:val="20"/>
              </w:rPr>
              <w:t xml:space="preserve"> prevozom tovora</w:t>
            </w:r>
          </w:p>
        </w:tc>
      </w:tr>
      <w:tr w:rsidR="00A65153" w:rsidRPr="00301071" w:rsidTr="00A65153">
        <w:tc>
          <w:tcPr>
            <w:tcW w:w="9212" w:type="dxa"/>
          </w:tcPr>
          <w:p w:rsidR="00A65153" w:rsidRPr="00301071" w:rsidRDefault="00A65153" w:rsidP="00301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071">
              <w:rPr>
                <w:rFonts w:ascii="Arial" w:hAnsi="Arial" w:cs="Arial"/>
                <w:sz w:val="20"/>
                <w:szCs w:val="20"/>
              </w:rPr>
              <w:t>pospeševanje inovacij ter uporabe podatkov in umetne inteligence za pametnejšo mobilnost, npr. s polno podporo uporabi brezpilotnih zrakoplovov in zrakoplovov brez posadke ter nadaljnjimi ukrepi za vzpostavitev evropskega skupnega podatkovnega prostora za mobilnost</w:t>
            </w:r>
          </w:p>
        </w:tc>
      </w:tr>
    </w:tbl>
    <w:p w:rsidR="003B5E52" w:rsidRDefault="003B5E52" w:rsidP="00301071">
      <w:pPr>
        <w:jc w:val="both"/>
        <w:rPr>
          <w:rFonts w:ascii="Arial" w:hAnsi="Arial" w:cs="Arial"/>
          <w:sz w:val="20"/>
          <w:szCs w:val="20"/>
        </w:rPr>
      </w:pPr>
    </w:p>
    <w:p w:rsidR="0070697E" w:rsidRDefault="0070697E" w:rsidP="00301071">
      <w:pPr>
        <w:jc w:val="both"/>
        <w:rPr>
          <w:rFonts w:ascii="Arial" w:hAnsi="Arial" w:cs="Arial"/>
          <w:b/>
          <w:sz w:val="20"/>
          <w:szCs w:val="20"/>
        </w:rPr>
      </w:pPr>
    </w:p>
    <w:p w:rsidR="00A65153" w:rsidRPr="003B5E52" w:rsidRDefault="00A65153" w:rsidP="00301071">
      <w:pPr>
        <w:jc w:val="both"/>
        <w:rPr>
          <w:rFonts w:ascii="Arial" w:hAnsi="Arial" w:cs="Arial"/>
          <w:b/>
          <w:sz w:val="20"/>
          <w:szCs w:val="20"/>
        </w:rPr>
      </w:pPr>
      <w:r w:rsidRPr="003B5E52">
        <w:rPr>
          <w:rFonts w:ascii="Arial" w:hAnsi="Arial" w:cs="Arial"/>
          <w:b/>
          <w:sz w:val="20"/>
          <w:szCs w:val="20"/>
        </w:rPr>
        <w:lastRenderedPageBreak/>
        <w:t>Tabela 3: Odporen promet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A65153" w:rsidRPr="00301071" w:rsidTr="00A65153">
        <w:tc>
          <w:tcPr>
            <w:tcW w:w="9212" w:type="dxa"/>
          </w:tcPr>
          <w:p w:rsidR="00A65153" w:rsidRPr="003B5E52" w:rsidRDefault="00A65153" w:rsidP="003B5E5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5E52">
              <w:rPr>
                <w:rFonts w:ascii="Arial" w:hAnsi="Arial" w:cs="Arial"/>
                <w:b/>
                <w:sz w:val="20"/>
                <w:szCs w:val="20"/>
              </w:rPr>
              <w:t>Promet je eden od sektorjev, ki jih je pandemija COVID-19 najhuje prizadela.</w:t>
            </w:r>
            <w:r w:rsidR="008D2FDC" w:rsidRPr="003B5E52">
              <w:rPr>
                <w:rFonts w:ascii="Arial" w:hAnsi="Arial" w:cs="Arial"/>
                <w:b/>
                <w:sz w:val="20"/>
                <w:szCs w:val="20"/>
              </w:rPr>
              <w:t xml:space="preserve"> Za odpravo</w:t>
            </w:r>
            <w:r w:rsidR="003B5E52" w:rsidRPr="003B5E52">
              <w:rPr>
                <w:rFonts w:ascii="Arial" w:hAnsi="Arial" w:cs="Arial"/>
                <w:b/>
                <w:sz w:val="20"/>
                <w:szCs w:val="20"/>
              </w:rPr>
              <w:t xml:space="preserve"> posledic</w:t>
            </w:r>
            <w:r w:rsidR="008D2FDC" w:rsidRPr="003B5E52">
              <w:rPr>
                <w:rFonts w:ascii="Arial" w:hAnsi="Arial" w:cs="Arial"/>
                <w:b/>
                <w:sz w:val="20"/>
                <w:szCs w:val="20"/>
              </w:rPr>
              <w:t xml:space="preserve"> je predvideno:</w:t>
            </w:r>
          </w:p>
        </w:tc>
      </w:tr>
      <w:tr w:rsidR="00A65153" w:rsidRPr="00301071" w:rsidTr="00A65153">
        <w:tc>
          <w:tcPr>
            <w:tcW w:w="9212" w:type="dxa"/>
          </w:tcPr>
          <w:p w:rsidR="00A65153" w:rsidRPr="00301071" w:rsidRDefault="008D2FDC" w:rsidP="00301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071">
              <w:rPr>
                <w:rFonts w:ascii="Arial" w:hAnsi="Arial" w:cs="Arial"/>
                <w:sz w:val="20"/>
                <w:szCs w:val="20"/>
              </w:rPr>
              <w:t xml:space="preserve">okrepitev enotnega trga z dokončanjem </w:t>
            </w:r>
            <w:proofErr w:type="spellStart"/>
            <w:r w:rsidRPr="00301071">
              <w:rPr>
                <w:rFonts w:ascii="Arial" w:hAnsi="Arial" w:cs="Arial"/>
                <w:sz w:val="20"/>
                <w:szCs w:val="20"/>
              </w:rPr>
              <w:t>vseevoropskega</w:t>
            </w:r>
            <w:proofErr w:type="spellEnd"/>
            <w:r w:rsidRPr="00301071">
              <w:rPr>
                <w:rFonts w:ascii="Arial" w:hAnsi="Arial" w:cs="Arial"/>
                <w:sz w:val="20"/>
                <w:szCs w:val="20"/>
              </w:rPr>
              <w:t xml:space="preserve"> prometnega omrežja TEN-T do leta 2030 in podpiranje sektorja s povečanimi javnimi in zasebnimi naložbami v posodobitev voznega parka </w:t>
            </w:r>
          </w:p>
        </w:tc>
      </w:tr>
      <w:tr w:rsidR="00A65153" w:rsidRPr="00301071" w:rsidTr="00A65153">
        <w:tc>
          <w:tcPr>
            <w:tcW w:w="9212" w:type="dxa"/>
          </w:tcPr>
          <w:p w:rsidR="00A65153" w:rsidRPr="00301071" w:rsidRDefault="008D2FDC" w:rsidP="00301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071">
              <w:rPr>
                <w:rFonts w:ascii="Arial" w:hAnsi="Arial" w:cs="Arial"/>
                <w:sz w:val="20"/>
                <w:szCs w:val="20"/>
              </w:rPr>
              <w:t>vzpostavitev mobilnosti, ki bo poštena in pravična za vse, tako, da bo cenovno ugodna in dostopna v vseh regijah in za vse potnike ter da bo ta sektor privlačnejši za delavce</w:t>
            </w:r>
          </w:p>
        </w:tc>
      </w:tr>
      <w:tr w:rsidR="00A65153" w:rsidRPr="00301071" w:rsidTr="00A65153">
        <w:tc>
          <w:tcPr>
            <w:tcW w:w="9212" w:type="dxa"/>
          </w:tcPr>
          <w:p w:rsidR="00A65153" w:rsidRPr="00301071" w:rsidRDefault="008D2FDC" w:rsidP="00301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071">
              <w:rPr>
                <w:rFonts w:ascii="Arial" w:hAnsi="Arial" w:cs="Arial"/>
                <w:sz w:val="20"/>
                <w:szCs w:val="20"/>
              </w:rPr>
              <w:t>Izboljšanje varnosti in zanesljivosti vseh načinov prevoza</w:t>
            </w:r>
          </w:p>
        </w:tc>
      </w:tr>
    </w:tbl>
    <w:p w:rsidR="00A65153" w:rsidRPr="00301071" w:rsidRDefault="008D2FDC" w:rsidP="00301071">
      <w:pPr>
        <w:jc w:val="both"/>
        <w:rPr>
          <w:rFonts w:ascii="Arial" w:hAnsi="Arial" w:cs="Arial"/>
          <w:sz w:val="20"/>
          <w:szCs w:val="20"/>
        </w:rPr>
      </w:pPr>
      <w:r w:rsidRPr="00301071">
        <w:rPr>
          <w:rFonts w:ascii="Arial" w:hAnsi="Arial" w:cs="Arial"/>
          <w:sz w:val="20"/>
          <w:szCs w:val="20"/>
        </w:rPr>
        <w:t>Vir: Strategija</w:t>
      </w:r>
    </w:p>
    <w:p w:rsidR="008D2FDC" w:rsidRPr="003B5E52" w:rsidRDefault="008D2FDC" w:rsidP="00301071">
      <w:pPr>
        <w:jc w:val="both"/>
        <w:rPr>
          <w:rFonts w:ascii="Arial" w:hAnsi="Arial" w:cs="Arial"/>
          <w:b/>
          <w:sz w:val="20"/>
          <w:szCs w:val="20"/>
        </w:rPr>
      </w:pPr>
      <w:r w:rsidRPr="003B5E52">
        <w:rPr>
          <w:rFonts w:ascii="Arial" w:hAnsi="Arial" w:cs="Arial"/>
          <w:b/>
          <w:sz w:val="20"/>
          <w:szCs w:val="20"/>
        </w:rPr>
        <w:t>Koristne informacije:</w:t>
      </w:r>
    </w:p>
    <w:p w:rsidR="008D2FDC" w:rsidRPr="003B5E52" w:rsidRDefault="008D2FDC" w:rsidP="003B5E52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3B5E52">
        <w:rPr>
          <w:rFonts w:ascii="Arial" w:hAnsi="Arial" w:cs="Arial"/>
          <w:sz w:val="20"/>
          <w:szCs w:val="20"/>
        </w:rPr>
        <w:t>Strategija:</w:t>
      </w:r>
    </w:p>
    <w:p w:rsidR="008D2FDC" w:rsidRPr="003B5E52" w:rsidRDefault="008D2FDC" w:rsidP="003B5E52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3B5E52">
          <w:rPr>
            <w:rStyle w:val="Hiperpovezava"/>
            <w:rFonts w:ascii="Arial" w:hAnsi="Arial" w:cs="Arial"/>
            <w:sz w:val="20"/>
            <w:szCs w:val="20"/>
          </w:rPr>
          <w:t>https://ec.europa.eu/transport/sites/transport/files/legislation/com20200789.pdf</w:t>
        </w:r>
      </w:hyperlink>
    </w:p>
    <w:p w:rsidR="008D2FDC" w:rsidRPr="003B5E52" w:rsidRDefault="008D2FDC" w:rsidP="003B5E52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3B5E52">
        <w:rPr>
          <w:rFonts w:ascii="Arial" w:hAnsi="Arial" w:cs="Arial"/>
          <w:sz w:val="20"/>
          <w:szCs w:val="20"/>
        </w:rPr>
        <w:t>Delovni dokument služb Evropske komisije:</w:t>
      </w:r>
    </w:p>
    <w:p w:rsidR="008D2FDC" w:rsidRPr="003B5E52" w:rsidRDefault="008D2FDC" w:rsidP="003B5E52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3B5E52">
          <w:rPr>
            <w:rStyle w:val="Hiperpovezava"/>
            <w:rFonts w:ascii="Arial" w:hAnsi="Arial" w:cs="Arial"/>
            <w:sz w:val="20"/>
            <w:szCs w:val="20"/>
          </w:rPr>
          <w:t>https://ec.europa.eu/transport/sites/transport/files/legislation/swd20200331.pdf</w:t>
        </w:r>
      </w:hyperlink>
    </w:p>
    <w:p w:rsidR="008D2FDC" w:rsidRPr="003B5E52" w:rsidRDefault="008D2FDC" w:rsidP="003B5E52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3B5E52">
        <w:rPr>
          <w:rFonts w:ascii="Arial" w:hAnsi="Arial" w:cs="Arial"/>
          <w:sz w:val="20"/>
          <w:szCs w:val="20"/>
        </w:rPr>
        <w:t>Zakonodajni akcijski načrt:</w:t>
      </w:r>
    </w:p>
    <w:p w:rsidR="008D2FDC" w:rsidRPr="003B5E52" w:rsidRDefault="008D2FDC" w:rsidP="003B5E52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3B5E52">
          <w:rPr>
            <w:rStyle w:val="Hiperpovezava"/>
            <w:rFonts w:ascii="Arial" w:hAnsi="Arial" w:cs="Arial"/>
            <w:sz w:val="20"/>
            <w:szCs w:val="20"/>
          </w:rPr>
          <w:t>https://ec.europa.eu/transport/sites/transport/files/legislation/com20200789-annex.pdf</w:t>
        </w:r>
      </w:hyperlink>
    </w:p>
    <w:p w:rsidR="008D2FDC" w:rsidRPr="003B5E52" w:rsidRDefault="008D2FDC" w:rsidP="003B5E52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3B5E52">
        <w:rPr>
          <w:rFonts w:ascii="Arial" w:hAnsi="Arial" w:cs="Arial"/>
          <w:sz w:val="20"/>
          <w:szCs w:val="20"/>
        </w:rPr>
        <w:t>Informativni pregled strategije:</w:t>
      </w:r>
    </w:p>
    <w:p w:rsidR="008D2FDC" w:rsidRPr="003B5E52" w:rsidRDefault="008D2FDC" w:rsidP="003B5E52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3B5E52">
          <w:rPr>
            <w:rStyle w:val="Hiperpovezava"/>
            <w:rFonts w:ascii="Arial" w:hAnsi="Arial" w:cs="Arial"/>
            <w:sz w:val="20"/>
            <w:szCs w:val="20"/>
          </w:rPr>
          <w:t>https://ec.europa.eu/commission/presscorner/detail/sl/fs_20_2350</w:t>
        </w:r>
      </w:hyperlink>
    </w:p>
    <w:p w:rsidR="008D2FDC" w:rsidRPr="00301071" w:rsidRDefault="008D2FDC" w:rsidP="003B5E52">
      <w:pPr>
        <w:spacing w:after="0"/>
        <w:jc w:val="both"/>
        <w:rPr>
          <w:rFonts w:ascii="Arial" w:hAnsi="Arial" w:cs="Arial"/>
          <w:sz w:val="20"/>
          <w:szCs w:val="20"/>
        </w:rPr>
      </w:pPr>
      <w:r w:rsidRPr="00301071">
        <w:rPr>
          <w:rFonts w:ascii="Arial" w:hAnsi="Arial" w:cs="Arial"/>
          <w:sz w:val="20"/>
          <w:szCs w:val="20"/>
        </w:rPr>
        <w:t>Pripravila:</w:t>
      </w:r>
    </w:p>
    <w:p w:rsidR="008D2FDC" w:rsidRPr="00301071" w:rsidRDefault="008D2FDC" w:rsidP="003B5E52">
      <w:pPr>
        <w:spacing w:after="0"/>
        <w:jc w:val="both"/>
        <w:rPr>
          <w:rFonts w:ascii="Arial" w:hAnsi="Arial" w:cs="Arial"/>
          <w:sz w:val="20"/>
          <w:szCs w:val="20"/>
        </w:rPr>
      </w:pPr>
      <w:r w:rsidRPr="00301071">
        <w:rPr>
          <w:rFonts w:ascii="Arial" w:hAnsi="Arial" w:cs="Arial"/>
          <w:sz w:val="20"/>
          <w:szCs w:val="20"/>
        </w:rPr>
        <w:t>Darja Kocbek</w:t>
      </w:r>
    </w:p>
    <w:p w:rsidR="005D6324" w:rsidRDefault="005D6324" w:rsidP="003B5E52">
      <w:pPr>
        <w:spacing w:before="100" w:beforeAutospacing="1" w:after="0" w:line="240" w:lineRule="auto"/>
      </w:pPr>
    </w:p>
    <w:sectPr w:rsidR="005D6324" w:rsidSect="00272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66BB8"/>
    <w:multiLevelType w:val="multilevel"/>
    <w:tmpl w:val="7454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EE2B66"/>
    <w:multiLevelType w:val="multilevel"/>
    <w:tmpl w:val="40BE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74657E"/>
    <w:multiLevelType w:val="multilevel"/>
    <w:tmpl w:val="BC74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E31B5E"/>
    <w:multiLevelType w:val="hybridMultilevel"/>
    <w:tmpl w:val="47724D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C47FBF"/>
    <w:multiLevelType w:val="multilevel"/>
    <w:tmpl w:val="0790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977399"/>
    <w:multiLevelType w:val="multilevel"/>
    <w:tmpl w:val="04F6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071E36"/>
    <w:multiLevelType w:val="multilevel"/>
    <w:tmpl w:val="7E589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026C0A"/>
    <w:multiLevelType w:val="multilevel"/>
    <w:tmpl w:val="232A7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3148"/>
    <w:rsid w:val="00213148"/>
    <w:rsid w:val="002722C7"/>
    <w:rsid w:val="00301071"/>
    <w:rsid w:val="003B5E52"/>
    <w:rsid w:val="005D6324"/>
    <w:rsid w:val="0070697E"/>
    <w:rsid w:val="008A5590"/>
    <w:rsid w:val="008D2FDC"/>
    <w:rsid w:val="00A65153"/>
    <w:rsid w:val="00D219AF"/>
    <w:rsid w:val="00EF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722C7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069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13148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5D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5D6324"/>
    <w:rPr>
      <w:b/>
      <w:bCs/>
    </w:rPr>
  </w:style>
  <w:style w:type="table" w:styleId="Tabela-mrea">
    <w:name w:val="Table Grid"/>
    <w:basedOn w:val="Navadnatabela"/>
    <w:uiPriority w:val="59"/>
    <w:rsid w:val="00EF61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3B5E52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7069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9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5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transport/sites/transport/files/legislation/com20200789-annex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transport/sites/transport/files/legislation/swd2020033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transport/sites/transport/files/legislation/com20200789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commission/presscorner/detail/sl/fs_20_235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2020-12-09T19:20:00Z</dcterms:created>
  <dcterms:modified xsi:type="dcterms:W3CDTF">2020-12-09T20:00:00Z</dcterms:modified>
</cp:coreProperties>
</file>