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71A" w:rsidRDefault="0099071A" w:rsidP="0099071A">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9071A" w:rsidRPr="00465DEF" w:rsidRDefault="0099071A" w:rsidP="0099071A">
      <w:pPr>
        <w:pStyle w:val="Naslov2"/>
        <w:tabs>
          <w:tab w:val="left" w:pos="3120"/>
        </w:tabs>
        <w:jc w:val="center"/>
        <w:rPr>
          <w:rFonts w:ascii="Arial" w:hAnsi="Arial" w:cs="Arial"/>
          <w:b w:val="0"/>
          <w:bCs w:val="0"/>
          <w:i/>
          <w:iCs/>
          <w:sz w:val="22"/>
        </w:rPr>
      </w:pPr>
      <w:r w:rsidRPr="00465DEF">
        <w:rPr>
          <w:rFonts w:ascii="Arial" w:hAnsi="Arial" w:cs="Arial"/>
          <w:b w:val="0"/>
          <w:bCs w:val="0"/>
          <w:sz w:val="22"/>
        </w:rPr>
        <w:t>Slovensko gospodarsko in raziskovalno združenje, Bruselj</w:t>
      </w:r>
    </w:p>
    <w:p w:rsidR="0099071A" w:rsidRDefault="0099071A" w:rsidP="0099071A">
      <w:pPr>
        <w:pBdr>
          <w:bottom w:val="single" w:sz="6" w:space="1" w:color="auto"/>
        </w:pBdr>
        <w:tabs>
          <w:tab w:val="left" w:pos="3120"/>
        </w:tabs>
        <w:jc w:val="center"/>
        <w:rPr>
          <w:sz w:val="16"/>
          <w:szCs w:val="16"/>
        </w:rPr>
      </w:pPr>
    </w:p>
    <w:p w:rsidR="0099071A" w:rsidRPr="00866553" w:rsidRDefault="0099071A" w:rsidP="0099071A">
      <w:pPr>
        <w:tabs>
          <w:tab w:val="left" w:pos="3120"/>
        </w:tabs>
        <w:jc w:val="center"/>
        <w:rPr>
          <w:rFonts w:cs="Arial"/>
          <w:b/>
        </w:rPr>
      </w:pPr>
      <w:r w:rsidRPr="00866553">
        <w:rPr>
          <w:rFonts w:cs="Arial"/>
          <w:b/>
        </w:rPr>
        <w:t>Občasna informacija članom 1</w:t>
      </w:r>
      <w:r>
        <w:rPr>
          <w:rFonts w:cs="Arial"/>
          <w:b/>
        </w:rPr>
        <w:t>80</w:t>
      </w:r>
      <w:r w:rsidRPr="00866553">
        <w:rPr>
          <w:rFonts w:cs="Arial"/>
          <w:b/>
        </w:rPr>
        <w:t xml:space="preserve"> – 2016</w:t>
      </w:r>
    </w:p>
    <w:p w:rsidR="0099071A" w:rsidRPr="00465DEF" w:rsidRDefault="0099071A" w:rsidP="0099071A">
      <w:pPr>
        <w:tabs>
          <w:tab w:val="left" w:pos="3120"/>
        </w:tabs>
        <w:jc w:val="center"/>
        <w:rPr>
          <w:rFonts w:cs="Arial"/>
          <w:b/>
        </w:rPr>
      </w:pPr>
      <w:r>
        <w:rPr>
          <w:rFonts w:cs="Arial"/>
          <w:b/>
        </w:rPr>
        <w:t>19</w:t>
      </w:r>
      <w:r w:rsidRPr="00866553">
        <w:rPr>
          <w:rFonts w:cs="Arial"/>
          <w:b/>
        </w:rPr>
        <w:t>. december 2016</w:t>
      </w:r>
    </w:p>
    <w:p w:rsidR="0099071A" w:rsidRDefault="0099071A" w:rsidP="0099071A">
      <w:pPr>
        <w:jc w:val="center"/>
        <w:rPr>
          <w:rFonts w:ascii="Arial" w:hAnsi="Arial" w:cs="Arial"/>
          <w:b/>
          <w:i/>
        </w:rPr>
      </w:pPr>
      <w:r>
        <w:rPr>
          <w:rFonts w:ascii="Arial" w:hAnsi="Arial" w:cs="Arial"/>
          <w:b/>
          <w:color w:val="993300"/>
          <w:sz w:val="32"/>
          <w:szCs w:val="32"/>
        </w:rPr>
        <w:t>Sprejet je četrti zakonodajni sveženj o železniških storitvah</w:t>
      </w:r>
    </w:p>
    <w:p w:rsidR="00783CDF" w:rsidRPr="00783CDF" w:rsidRDefault="00783CDF" w:rsidP="00783CDF">
      <w:pPr>
        <w:rPr>
          <w:rFonts w:ascii="Arial" w:hAnsi="Arial" w:cs="Arial"/>
          <w:b/>
          <w:i/>
        </w:rPr>
      </w:pPr>
      <w:r w:rsidRPr="00783CDF">
        <w:rPr>
          <w:rFonts w:ascii="Arial" w:hAnsi="Arial" w:cs="Arial"/>
          <w:b/>
          <w:i/>
        </w:rPr>
        <w:t>Evropski parlament je potrdil predlog nove skupne zakonodaje o železniških storitvah</w:t>
      </w:r>
      <w:r w:rsidR="0099071A">
        <w:rPr>
          <w:rFonts w:ascii="Arial" w:hAnsi="Arial" w:cs="Arial"/>
          <w:b/>
          <w:i/>
        </w:rPr>
        <w:t xml:space="preserve"> oziroma četrti zakonodajni sveženj o železniških storitvah</w:t>
      </w:r>
      <w:r w:rsidRPr="00783CDF">
        <w:rPr>
          <w:rFonts w:ascii="Arial" w:hAnsi="Arial" w:cs="Arial"/>
          <w:b/>
          <w:i/>
        </w:rPr>
        <w:t>. Ta med drugim predvideva odprte razpise za sklepanje pogodb o izvajanju potniških železniških storitev v vsej EU. Železniški prevozniki bodo nove komercialne storitve na domačih linijah lahko začeli ponujati decembra 2020. Javni razpisi za izvajanje storitev bodo postali obvezni decembra 2023. Nova zakonodaja še vedno omogoča tudi neposredno sklenitev pogodb brez razpisa, vendar le v primerih, ko to zagotavlja izboljšanje storitev za potnike ali večjo stroškovno učinkovitost.</w:t>
      </w:r>
    </w:p>
    <w:p w:rsidR="00783CDF" w:rsidRPr="00783CDF" w:rsidRDefault="00783CDF" w:rsidP="00783CDF">
      <w:pPr>
        <w:rPr>
          <w:rFonts w:ascii="Arial" w:hAnsi="Arial" w:cs="Arial"/>
          <w:sz w:val="20"/>
          <w:szCs w:val="20"/>
        </w:rPr>
      </w:pPr>
      <w:r w:rsidRPr="00783CDF">
        <w:rPr>
          <w:rFonts w:ascii="Arial" w:hAnsi="Arial" w:cs="Arial"/>
          <w:sz w:val="20"/>
          <w:szCs w:val="20"/>
        </w:rPr>
        <w:t>Železniški prevozniki bodo lahko s svojimi storitvami konkurirali po vsej EU na dva različna načina.</w:t>
      </w:r>
      <w:r>
        <w:rPr>
          <w:rFonts w:ascii="Arial" w:hAnsi="Arial" w:cs="Arial"/>
          <w:sz w:val="20"/>
          <w:szCs w:val="20"/>
        </w:rPr>
        <w:t xml:space="preserve"> </w:t>
      </w:r>
      <w:r w:rsidRPr="00783CDF">
        <w:rPr>
          <w:rFonts w:ascii="Arial" w:hAnsi="Arial" w:cs="Arial"/>
          <w:sz w:val="20"/>
          <w:szCs w:val="20"/>
        </w:rPr>
        <w:t>Prvi način je, da bo država izvajalce javne službe potniških železniških storitev poiskala prek odprtega razpisa. Te razpise naj bi države uvajale postopno. V Evropi dve tretjini železniških potniških storitev opravljajo izvajalci, ki so z državami sklenili pogodbe neposredno. Konkurenca na razpisih naj bi ponudbe bolj usmerila v potrebe potnikov in cenovno ugodnejše rešitve za javni proračun.</w:t>
      </w:r>
    </w:p>
    <w:p w:rsidR="00783CDF" w:rsidRPr="00783CDF" w:rsidRDefault="00783CDF" w:rsidP="00783CDF">
      <w:pPr>
        <w:rPr>
          <w:rFonts w:ascii="Arial" w:hAnsi="Arial" w:cs="Arial"/>
          <w:sz w:val="20"/>
          <w:szCs w:val="20"/>
        </w:rPr>
      </w:pPr>
      <w:r w:rsidRPr="00783CDF">
        <w:rPr>
          <w:rFonts w:ascii="Arial" w:hAnsi="Arial" w:cs="Arial"/>
          <w:sz w:val="20"/>
          <w:szCs w:val="20"/>
        </w:rPr>
        <w:t>Nova zakonodaja še vedno omogoča tudi neposredno sklenitev pogodb brez razpisa, vendar le v primerih, ko to zagotavlja izboljšanje storitev za potnike ali večjo stroškovno učinkovitost. V tem primeru bodo morale biti med pogodbenimi obveznostmi izvajalca tudi določene zahteve o točnosti in pogostosti storitev, kakovosti voznega parka in transportnih zmogljivostih. Pogodbe je mogoče skleniti neposredno samo z izvajalci, ki ne presežejo letnega prometa 7,5 milijona evrov, oziroma prepeljejo letno do 500.000 potniških kilometrov.</w:t>
      </w:r>
    </w:p>
    <w:p w:rsidR="00783CDF" w:rsidRPr="00783CDF" w:rsidRDefault="00783CDF" w:rsidP="00783CDF">
      <w:pPr>
        <w:rPr>
          <w:rFonts w:ascii="Arial" w:hAnsi="Arial" w:cs="Arial"/>
          <w:sz w:val="20"/>
          <w:szCs w:val="20"/>
        </w:rPr>
      </w:pPr>
      <w:r w:rsidRPr="00783CDF">
        <w:rPr>
          <w:rFonts w:ascii="Arial" w:hAnsi="Arial" w:cs="Arial"/>
          <w:sz w:val="20"/>
          <w:szCs w:val="20"/>
        </w:rPr>
        <w:t>Nova zakonodaja železniškim prevoznikom omogoča, da lahko svoje komercialne storitve prevoza potnikov ponujajo na kateremkoli evropskem trgu. Države članice novemu ponudniku lahko omejijo dostop na samo določene dele omrežja, če je namen teh omejitev zagotavljanje izvajanja javne službe, kot bi predvidevale že sklenjene pogodbe z drugimi ponudniki.</w:t>
      </w:r>
    </w:p>
    <w:p w:rsidR="00783CDF" w:rsidRDefault="00783CDF" w:rsidP="00783CDF">
      <w:pPr>
        <w:rPr>
          <w:rFonts w:ascii="Arial" w:hAnsi="Arial" w:cs="Arial"/>
          <w:sz w:val="20"/>
          <w:szCs w:val="20"/>
        </w:rPr>
      </w:pPr>
      <w:r w:rsidRPr="00783CDF">
        <w:rPr>
          <w:rFonts w:ascii="Arial" w:hAnsi="Arial" w:cs="Arial"/>
          <w:sz w:val="20"/>
          <w:szCs w:val="20"/>
        </w:rPr>
        <w:t>Pred odločitvijo o omejitvi dostopa do omrežja bo nacionalni regulator moral opraviti objektivno ekonomsko analizo dejanskega stanja, prav tako bo treba predhodno ugotoviti morebitna nasprotja interesov. Vsi izvajalci javne službe potniških železniških storitev bodo morali tudi izpolnjevati vse obveznosti, ki jim jih nalaga socialna in delovnopravna zakonodaja, bodisi evropska, nacionalna ali pa skozi kolektivne pogodbe.</w:t>
      </w:r>
    </w:p>
    <w:p w:rsidR="0099071A" w:rsidRDefault="0099071A" w:rsidP="00783CDF">
      <w:pPr>
        <w:rPr>
          <w:rFonts w:ascii="Arial" w:hAnsi="Arial" w:cs="Arial"/>
          <w:b/>
          <w:sz w:val="20"/>
          <w:szCs w:val="20"/>
        </w:rPr>
      </w:pPr>
    </w:p>
    <w:p w:rsidR="0099071A" w:rsidRDefault="0099071A" w:rsidP="00783CDF">
      <w:pPr>
        <w:rPr>
          <w:rFonts w:ascii="Arial" w:hAnsi="Arial" w:cs="Arial"/>
          <w:b/>
          <w:sz w:val="20"/>
          <w:szCs w:val="20"/>
        </w:rPr>
      </w:pPr>
    </w:p>
    <w:p w:rsidR="0099071A" w:rsidRDefault="0099071A" w:rsidP="00783CDF">
      <w:pPr>
        <w:rPr>
          <w:rFonts w:ascii="Arial" w:hAnsi="Arial" w:cs="Arial"/>
          <w:b/>
          <w:sz w:val="20"/>
          <w:szCs w:val="20"/>
        </w:rPr>
      </w:pPr>
    </w:p>
    <w:p w:rsidR="00783CDF" w:rsidRPr="00783CDF" w:rsidRDefault="00783CDF" w:rsidP="00783CDF">
      <w:pPr>
        <w:rPr>
          <w:rFonts w:ascii="Arial" w:hAnsi="Arial" w:cs="Arial"/>
          <w:b/>
          <w:sz w:val="20"/>
          <w:szCs w:val="20"/>
        </w:rPr>
      </w:pPr>
      <w:r w:rsidRPr="00783CDF">
        <w:rPr>
          <w:rFonts w:ascii="Arial" w:hAnsi="Arial" w:cs="Arial"/>
          <w:b/>
          <w:sz w:val="20"/>
          <w:szCs w:val="20"/>
        </w:rPr>
        <w:lastRenderedPageBreak/>
        <w:t>Koristne informacije:</w:t>
      </w:r>
    </w:p>
    <w:p w:rsidR="00783CDF" w:rsidRPr="00783CDF" w:rsidRDefault="00783CDF" w:rsidP="00783CDF">
      <w:pPr>
        <w:pStyle w:val="Odstavekseznama"/>
        <w:numPr>
          <w:ilvl w:val="0"/>
          <w:numId w:val="3"/>
        </w:numPr>
        <w:rPr>
          <w:rFonts w:ascii="Arial" w:hAnsi="Arial" w:cs="Arial"/>
          <w:sz w:val="20"/>
          <w:szCs w:val="20"/>
        </w:rPr>
      </w:pPr>
      <w:r w:rsidRPr="00783CDF">
        <w:rPr>
          <w:rFonts w:ascii="Arial" w:hAnsi="Arial" w:cs="Arial"/>
          <w:sz w:val="20"/>
          <w:szCs w:val="20"/>
        </w:rPr>
        <w:t>Spletna stran s povezavami na dokumente iz četrtega železniškega svežnja, ki jih je potrdil parlament:</w:t>
      </w:r>
    </w:p>
    <w:p w:rsidR="00783CDF" w:rsidRDefault="00783CDF" w:rsidP="00783CDF">
      <w:pPr>
        <w:pStyle w:val="Odstavekseznama"/>
        <w:numPr>
          <w:ilvl w:val="0"/>
          <w:numId w:val="3"/>
        </w:numPr>
        <w:rPr>
          <w:rFonts w:ascii="Arial" w:hAnsi="Arial" w:cs="Arial"/>
          <w:sz w:val="20"/>
          <w:szCs w:val="20"/>
        </w:rPr>
      </w:pPr>
      <w:hyperlink r:id="rId6" w:history="1">
        <w:r w:rsidRPr="00783CDF">
          <w:rPr>
            <w:rStyle w:val="Hiperpovezava"/>
            <w:rFonts w:ascii="Arial" w:hAnsi="Arial" w:cs="Arial"/>
            <w:sz w:val="20"/>
            <w:szCs w:val="20"/>
          </w:rPr>
          <w:t>http://www.europarl.europa.eu/sides/getDoc.do?pubRef=-%2f%2fEP%2f%2fTEXT%2bTA%2b20161214%2bTOC%2bDOC%2bXML%2bV0%2f%2fSL&amp;language=SL</w:t>
        </w:r>
      </w:hyperlink>
    </w:p>
    <w:p w:rsidR="0099071A" w:rsidRPr="00783CDF" w:rsidRDefault="0099071A" w:rsidP="0099071A">
      <w:pPr>
        <w:pStyle w:val="Odstavekseznama"/>
        <w:rPr>
          <w:rFonts w:ascii="Arial" w:hAnsi="Arial" w:cs="Arial"/>
          <w:sz w:val="20"/>
          <w:szCs w:val="20"/>
        </w:rPr>
      </w:pPr>
    </w:p>
    <w:p w:rsidR="00783CDF" w:rsidRPr="00783CDF" w:rsidRDefault="00783CDF" w:rsidP="00783CDF">
      <w:pPr>
        <w:pStyle w:val="Odstavekseznama"/>
        <w:numPr>
          <w:ilvl w:val="0"/>
          <w:numId w:val="3"/>
        </w:numPr>
        <w:rPr>
          <w:rFonts w:ascii="Arial" w:hAnsi="Arial" w:cs="Arial"/>
          <w:sz w:val="20"/>
          <w:szCs w:val="20"/>
        </w:rPr>
      </w:pPr>
      <w:r w:rsidRPr="00783CDF">
        <w:rPr>
          <w:rFonts w:ascii="Arial" w:hAnsi="Arial" w:cs="Arial"/>
          <w:sz w:val="20"/>
          <w:szCs w:val="20"/>
        </w:rPr>
        <w:t>Spletna stran z informacijami o četrtem železniškem svežnju:</w:t>
      </w:r>
    </w:p>
    <w:p w:rsidR="00783CDF" w:rsidRPr="00783CDF" w:rsidRDefault="00783CDF" w:rsidP="00783CDF">
      <w:pPr>
        <w:pStyle w:val="Odstavekseznama"/>
        <w:numPr>
          <w:ilvl w:val="0"/>
          <w:numId w:val="3"/>
        </w:numPr>
        <w:rPr>
          <w:rFonts w:ascii="Arial" w:hAnsi="Arial" w:cs="Arial"/>
          <w:sz w:val="20"/>
          <w:szCs w:val="20"/>
        </w:rPr>
      </w:pPr>
      <w:hyperlink r:id="rId7" w:history="1">
        <w:r w:rsidRPr="00783CDF">
          <w:rPr>
            <w:rStyle w:val="Hiperpovezava"/>
            <w:rFonts w:ascii="Arial" w:hAnsi="Arial" w:cs="Arial"/>
            <w:sz w:val="20"/>
            <w:szCs w:val="20"/>
          </w:rPr>
          <w:t>http://www.consilium.europa.eu/sl/policies/4th-railway-package/</w:t>
        </w:r>
      </w:hyperlink>
      <w:r w:rsidRPr="00783CDF">
        <w:rPr>
          <w:rFonts w:ascii="Arial" w:hAnsi="Arial" w:cs="Arial"/>
          <w:sz w:val="20"/>
          <w:szCs w:val="20"/>
        </w:rPr>
        <w:t xml:space="preserve"> </w:t>
      </w:r>
    </w:p>
    <w:p w:rsidR="00783CDF" w:rsidRDefault="00783CDF" w:rsidP="00783CDF">
      <w:pPr>
        <w:rPr>
          <w:rFonts w:ascii="Arial" w:hAnsi="Arial" w:cs="Arial"/>
          <w:sz w:val="20"/>
          <w:szCs w:val="20"/>
        </w:rPr>
      </w:pPr>
      <w:r>
        <w:rPr>
          <w:rFonts w:ascii="Arial" w:hAnsi="Arial" w:cs="Arial"/>
          <w:sz w:val="20"/>
          <w:szCs w:val="20"/>
        </w:rPr>
        <w:t>Pripravila:</w:t>
      </w:r>
    </w:p>
    <w:p w:rsidR="00783CDF" w:rsidRDefault="00783CDF" w:rsidP="00783CDF">
      <w:pPr>
        <w:rPr>
          <w:rFonts w:ascii="Arial" w:hAnsi="Arial" w:cs="Arial"/>
          <w:sz w:val="20"/>
          <w:szCs w:val="20"/>
        </w:rPr>
      </w:pPr>
      <w:r>
        <w:rPr>
          <w:rFonts w:ascii="Arial" w:hAnsi="Arial" w:cs="Arial"/>
          <w:sz w:val="20"/>
          <w:szCs w:val="20"/>
        </w:rPr>
        <w:t>Darja Kocbek</w:t>
      </w:r>
    </w:p>
    <w:p w:rsidR="00783CDF" w:rsidRPr="00783CDF" w:rsidRDefault="00783CDF" w:rsidP="00783CDF">
      <w:pPr>
        <w:rPr>
          <w:rFonts w:ascii="Arial" w:hAnsi="Arial" w:cs="Arial"/>
          <w:sz w:val="20"/>
          <w:szCs w:val="20"/>
        </w:rPr>
      </w:pPr>
    </w:p>
    <w:p w:rsidR="00783CDF" w:rsidRPr="00783CDF" w:rsidRDefault="00783CDF" w:rsidP="00783CDF">
      <w:pPr>
        <w:rPr>
          <w:rFonts w:ascii="Arial" w:hAnsi="Arial" w:cs="Arial"/>
          <w:sz w:val="20"/>
          <w:szCs w:val="20"/>
        </w:rPr>
      </w:pPr>
    </w:p>
    <w:p w:rsidR="00783CDF" w:rsidRPr="00783CDF" w:rsidRDefault="00783CDF" w:rsidP="00783CDF">
      <w:pPr>
        <w:rPr>
          <w:rFonts w:ascii="Arial" w:hAnsi="Arial" w:cs="Arial"/>
          <w:sz w:val="20"/>
          <w:szCs w:val="20"/>
        </w:rPr>
      </w:pPr>
    </w:p>
    <w:p w:rsidR="00B459D4" w:rsidRPr="00783CDF" w:rsidRDefault="00B459D4" w:rsidP="00783CDF">
      <w:pPr>
        <w:rPr>
          <w:rFonts w:ascii="Arial" w:hAnsi="Arial" w:cs="Arial"/>
          <w:sz w:val="20"/>
          <w:szCs w:val="20"/>
        </w:rPr>
      </w:pPr>
    </w:p>
    <w:sectPr w:rsidR="00B459D4" w:rsidRPr="00783CDF"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C2679"/>
    <w:multiLevelType w:val="hybridMultilevel"/>
    <w:tmpl w:val="72BC14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D1E5BA2"/>
    <w:multiLevelType w:val="multilevel"/>
    <w:tmpl w:val="4EC8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A4BFF"/>
    <w:multiLevelType w:val="multilevel"/>
    <w:tmpl w:val="3A0A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3CDF"/>
    <w:rsid w:val="00783CDF"/>
    <w:rsid w:val="0099071A"/>
    <w:rsid w:val="00B459D4"/>
    <w:rsid w:val="00DA0B44"/>
    <w:rsid w:val="00DE621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99071A"/>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83CDF"/>
    <w:pPr>
      <w:spacing w:before="100" w:beforeAutospacing="1"/>
      <w:jc w:val="left"/>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83CDF"/>
    <w:rPr>
      <w:b/>
      <w:bCs/>
    </w:rPr>
  </w:style>
  <w:style w:type="character" w:styleId="Hiperpovezava">
    <w:name w:val="Hyperlink"/>
    <w:basedOn w:val="Privzetapisavaodstavka"/>
    <w:uiPriority w:val="99"/>
    <w:unhideWhenUsed/>
    <w:rsid w:val="00783CDF"/>
    <w:rPr>
      <w:color w:val="0000FF" w:themeColor="hyperlink"/>
      <w:u w:val="single"/>
    </w:rPr>
  </w:style>
  <w:style w:type="paragraph" w:styleId="Odstavekseznama">
    <w:name w:val="List Paragraph"/>
    <w:basedOn w:val="Navaden"/>
    <w:uiPriority w:val="34"/>
    <w:qFormat/>
    <w:rsid w:val="00783CDF"/>
    <w:pPr>
      <w:ind w:left="720"/>
      <w:contextualSpacing/>
    </w:pPr>
  </w:style>
  <w:style w:type="character" w:customStyle="1" w:styleId="Naslov2Znak">
    <w:name w:val="Naslov 2 Znak"/>
    <w:basedOn w:val="Privzetapisavaodstavka"/>
    <w:link w:val="Naslov2"/>
    <w:uiPriority w:val="9"/>
    <w:rsid w:val="0099071A"/>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9071A"/>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07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626599">
      <w:bodyDiv w:val="1"/>
      <w:marLeft w:val="0"/>
      <w:marRight w:val="0"/>
      <w:marTop w:val="0"/>
      <w:marBottom w:val="0"/>
      <w:divBdr>
        <w:top w:val="none" w:sz="0" w:space="0" w:color="auto"/>
        <w:left w:val="none" w:sz="0" w:space="0" w:color="auto"/>
        <w:bottom w:val="none" w:sz="0" w:space="0" w:color="auto"/>
        <w:right w:val="none" w:sz="0" w:space="0" w:color="auto"/>
      </w:divBdr>
      <w:divsChild>
        <w:div w:id="2143451842">
          <w:marLeft w:val="0"/>
          <w:marRight w:val="0"/>
          <w:marTop w:val="0"/>
          <w:marBottom w:val="0"/>
          <w:divBdr>
            <w:top w:val="none" w:sz="0" w:space="0" w:color="auto"/>
            <w:left w:val="none" w:sz="0" w:space="0" w:color="auto"/>
            <w:bottom w:val="none" w:sz="0" w:space="0" w:color="auto"/>
            <w:right w:val="none" w:sz="0" w:space="0" w:color="auto"/>
          </w:divBdr>
          <w:divsChild>
            <w:div w:id="2019650873">
              <w:marLeft w:val="0"/>
              <w:marRight w:val="0"/>
              <w:marTop w:val="0"/>
              <w:marBottom w:val="0"/>
              <w:divBdr>
                <w:top w:val="none" w:sz="0" w:space="0" w:color="auto"/>
                <w:left w:val="none" w:sz="0" w:space="0" w:color="auto"/>
                <w:bottom w:val="none" w:sz="0" w:space="0" w:color="auto"/>
                <w:right w:val="none" w:sz="0" w:space="0" w:color="auto"/>
              </w:divBdr>
            </w:div>
            <w:div w:id="15619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ilium.europa.eu/sl/policies/4th-railway-pack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rl.europa.eu/sides/getDoc.do?pubRef=-%2f%2fEP%2f%2fTEXT%2bTA%2b20161214%2bTOC%2bDOC%2bXML%2bV0%2f%2fSL&amp;language=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485</Words>
  <Characters>2770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2016-12-14T22:57:00Z</dcterms:created>
  <dcterms:modified xsi:type="dcterms:W3CDTF">2016-12-14T23:18:00Z</dcterms:modified>
</cp:coreProperties>
</file>