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90" w:rsidRDefault="00756A90" w:rsidP="005958A2">
      <w:pPr>
        <w:jc w:val="both"/>
        <w:rPr>
          <w:rFonts w:ascii="Arial" w:hAnsi="Arial" w:cs="Arial"/>
          <w:b/>
          <w:i/>
        </w:rPr>
      </w:pPr>
    </w:p>
    <w:p w:rsidR="00756A90" w:rsidRPr="00467345" w:rsidRDefault="00756A90" w:rsidP="00756A9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A90" w:rsidRPr="00083714" w:rsidRDefault="00756A90" w:rsidP="00756A9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56A90" w:rsidRPr="00083714" w:rsidRDefault="00756A90" w:rsidP="00756A9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56A90" w:rsidRDefault="00756A90" w:rsidP="00756A9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180 </w:t>
      </w:r>
      <w:r w:rsidRPr="00083714">
        <w:rPr>
          <w:b/>
        </w:rPr>
        <w:t>– 20</w:t>
      </w:r>
      <w:r>
        <w:rPr>
          <w:b/>
        </w:rPr>
        <w:t>21</w:t>
      </w:r>
    </w:p>
    <w:p w:rsidR="00756A90" w:rsidRPr="0084452F" w:rsidRDefault="00756A90" w:rsidP="00756A9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29.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56A90" w:rsidRDefault="00756A90" w:rsidP="00756A9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Objavljeni so razpisi programa </w:t>
      </w:r>
      <w:proofErr w:type="spellStart"/>
      <w:r>
        <w:rPr>
          <w:b/>
          <w:color w:val="993300"/>
          <w:sz w:val="32"/>
          <w:szCs w:val="32"/>
        </w:rPr>
        <w:t>Erasmus</w:t>
      </w:r>
      <w:proofErr w:type="spellEnd"/>
      <w:r>
        <w:rPr>
          <w:b/>
          <w:color w:val="993300"/>
          <w:sz w:val="32"/>
          <w:szCs w:val="32"/>
        </w:rPr>
        <w:t>+ za leto 2022</w:t>
      </w:r>
    </w:p>
    <w:p w:rsidR="00AB330E" w:rsidRPr="005958A2" w:rsidRDefault="00AB330E" w:rsidP="005958A2">
      <w:pPr>
        <w:jc w:val="both"/>
        <w:rPr>
          <w:rFonts w:ascii="Arial" w:hAnsi="Arial" w:cs="Arial"/>
          <w:b/>
          <w:i/>
        </w:rPr>
      </w:pPr>
      <w:r w:rsidRPr="005958A2">
        <w:rPr>
          <w:rFonts w:ascii="Arial" w:hAnsi="Arial" w:cs="Arial"/>
          <w:b/>
          <w:i/>
        </w:rPr>
        <w:t xml:space="preserve">Evropska komisija je po sprejetju letnega programa dela za leto 2022 objavila razpise programa </w:t>
      </w:r>
      <w:proofErr w:type="spellStart"/>
      <w:r w:rsidRPr="005958A2">
        <w:rPr>
          <w:rFonts w:ascii="Arial" w:hAnsi="Arial" w:cs="Arial"/>
          <w:b/>
          <w:i/>
        </w:rPr>
        <w:t>Erasmus</w:t>
      </w:r>
      <w:proofErr w:type="spellEnd"/>
      <w:r w:rsidRPr="005958A2">
        <w:rPr>
          <w:rFonts w:ascii="Arial" w:hAnsi="Arial" w:cs="Arial"/>
          <w:b/>
          <w:i/>
        </w:rPr>
        <w:t>+ za leto 2022. Poleg splošnega razpisa letni program dela vključuje tudi druge ukrepe, ki se bodo začeli izvajati ločeno, kot je pobuda o mreži evropskih univerz. Za študij, pripravništva, vajeništva in izmenjave osebja v tujini ter projekte čezmejnega sodelovanja na različnih področjih izobraževanja, usposabljanja, mladine in športa je na voljo 3,9 milijarde evrov. Člani lahko dobijo več informacij na SBRA.</w:t>
      </w:r>
    </w:p>
    <w:p w:rsidR="00AB330E" w:rsidRPr="005958A2" w:rsidRDefault="00AB330E" w:rsidP="005958A2">
      <w:pPr>
        <w:jc w:val="both"/>
        <w:rPr>
          <w:rFonts w:ascii="Arial" w:hAnsi="Arial" w:cs="Arial"/>
          <w:b/>
          <w:sz w:val="20"/>
          <w:szCs w:val="20"/>
        </w:rPr>
      </w:pPr>
      <w:r w:rsidRPr="005958A2">
        <w:rPr>
          <w:rFonts w:ascii="Arial" w:hAnsi="Arial" w:cs="Arial"/>
          <w:b/>
          <w:sz w:val="20"/>
          <w:szCs w:val="20"/>
        </w:rPr>
        <w:t>Tabela 1: Pregled glavnih novosti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AB330E" w:rsidRPr="00756A90" w:rsidTr="00AB330E"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Novost</w:t>
            </w:r>
          </w:p>
        </w:tc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Kratek opis</w:t>
            </w:r>
          </w:p>
        </w:tc>
      </w:tr>
      <w:tr w:rsidR="00AB330E" w:rsidRPr="00756A90" w:rsidTr="00AB330E"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V prihodnost usmerjeni projekti</w:t>
            </w:r>
          </w:p>
        </w:tc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A90">
              <w:rPr>
                <w:rFonts w:ascii="Arial" w:hAnsi="Arial" w:cs="Arial"/>
                <w:sz w:val="18"/>
                <w:szCs w:val="18"/>
              </w:rPr>
              <w:t>Podpora za visokokakovostno in vključujoče digitalno izobraževanje ter prilagajanje sistemov izobraževanja in usposabljanja zelenemu prehodu. Ti projekti bodo imeli na voljo večji proračun in se bodo izvajali najmanj tri leta. V njih naj bi sodelovale tako javne kot tudi zasebne organizacije. Dosegli naj bi inovativne rezultate, ki lahko pozitivno vplivajo na izobraževanje na evropski ravni.</w:t>
            </w:r>
          </w:p>
        </w:tc>
      </w:tr>
      <w:tr w:rsidR="00AB330E" w:rsidRPr="00756A90" w:rsidTr="00AB330E"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Več izmenjav s tretjimi državami</w:t>
            </w:r>
          </w:p>
        </w:tc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A90">
              <w:rPr>
                <w:rFonts w:ascii="Arial" w:hAnsi="Arial" w:cs="Arial"/>
                <w:sz w:val="18"/>
                <w:szCs w:val="18"/>
              </w:rPr>
              <w:t>Tretje države bodo lahko sodelovale v ciljno usmerjenih projektih in izmenjavah, zlasti na področju poklicnega izobraževanja in usposabljanja ter športa.</w:t>
            </w:r>
          </w:p>
        </w:tc>
      </w:tr>
      <w:tr w:rsidR="00AB330E" w:rsidRPr="00756A90" w:rsidTr="00AB330E"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 xml:space="preserve">Bolj vključujoča pobuda </w:t>
            </w:r>
            <w:proofErr w:type="spellStart"/>
            <w:r w:rsidRPr="00756A90">
              <w:rPr>
                <w:rFonts w:ascii="Arial" w:hAnsi="Arial" w:cs="Arial"/>
                <w:b/>
                <w:sz w:val="18"/>
                <w:szCs w:val="18"/>
              </w:rPr>
              <w:t>DiscoverEU</w:t>
            </w:r>
            <w:proofErr w:type="spellEnd"/>
          </w:p>
        </w:tc>
        <w:tc>
          <w:tcPr>
            <w:tcW w:w="4606" w:type="dxa"/>
          </w:tcPr>
          <w:p w:rsidR="00AB330E" w:rsidRPr="00756A90" w:rsidRDefault="00AB330E" w:rsidP="00595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A90">
              <w:rPr>
                <w:rFonts w:ascii="Arial" w:hAnsi="Arial" w:cs="Arial"/>
                <w:sz w:val="18"/>
                <w:szCs w:val="18"/>
              </w:rPr>
              <w:t xml:space="preserve">Od leta 2022 bodo organizirani posebni krogi prijav za organizacije, da bi sodelovanje v pobudi omogočili še več mladim z manj priložnostmi. </w:t>
            </w:r>
          </w:p>
        </w:tc>
      </w:tr>
      <w:tr w:rsidR="00AB330E" w:rsidRPr="00756A90" w:rsidTr="00AB330E">
        <w:tc>
          <w:tcPr>
            <w:tcW w:w="4606" w:type="dxa"/>
          </w:tcPr>
          <w:p w:rsidR="00AB330E" w:rsidRPr="00756A90" w:rsidRDefault="00E122D5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Približevanje Evropske unije šolam</w:t>
            </w:r>
          </w:p>
        </w:tc>
        <w:tc>
          <w:tcPr>
            <w:tcW w:w="4606" w:type="dxa"/>
          </w:tcPr>
          <w:p w:rsidR="00AB330E" w:rsidRPr="00756A90" w:rsidRDefault="00E122D5" w:rsidP="00595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A90">
              <w:rPr>
                <w:rFonts w:ascii="Arial" w:hAnsi="Arial" w:cs="Arial"/>
                <w:sz w:val="18"/>
                <w:szCs w:val="18"/>
              </w:rPr>
              <w:t xml:space="preserve">Ukrepi Jean </w:t>
            </w:r>
            <w:proofErr w:type="spellStart"/>
            <w:r w:rsidRPr="00756A90">
              <w:rPr>
                <w:rFonts w:ascii="Arial" w:hAnsi="Arial" w:cs="Arial"/>
                <w:sz w:val="18"/>
                <w:szCs w:val="18"/>
              </w:rPr>
              <w:t>Monnet</w:t>
            </w:r>
            <w:proofErr w:type="spellEnd"/>
            <w:r w:rsidRPr="00756A90">
              <w:rPr>
                <w:rFonts w:ascii="Arial" w:hAnsi="Arial" w:cs="Arial"/>
                <w:sz w:val="18"/>
                <w:szCs w:val="18"/>
              </w:rPr>
              <w:t xml:space="preserve"> za spodbujanje spoznavanja EU se bodo razširili na učence in učenke vseh starosti ter na šole za splošno in poklicno izobraževanje, zajemali pa bodo različne dejavnosti, tudi študijske obiske.</w:t>
            </w:r>
          </w:p>
        </w:tc>
      </w:tr>
      <w:tr w:rsidR="00AB330E" w:rsidRPr="00756A90" w:rsidTr="00AB330E">
        <w:tc>
          <w:tcPr>
            <w:tcW w:w="4606" w:type="dxa"/>
          </w:tcPr>
          <w:p w:rsidR="00AB330E" w:rsidRPr="00756A90" w:rsidRDefault="00E122D5" w:rsidP="005958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6A90">
              <w:rPr>
                <w:rFonts w:ascii="Arial" w:hAnsi="Arial" w:cs="Arial"/>
                <w:b/>
                <w:sz w:val="18"/>
                <w:szCs w:val="18"/>
              </w:rPr>
              <w:t>Enostavnejše financiranje projektov sodelovanja</w:t>
            </w:r>
          </w:p>
        </w:tc>
        <w:tc>
          <w:tcPr>
            <w:tcW w:w="4606" w:type="dxa"/>
          </w:tcPr>
          <w:p w:rsidR="00AB330E" w:rsidRPr="00756A90" w:rsidRDefault="00E122D5" w:rsidP="00595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6A90"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proofErr w:type="spellStart"/>
            <w:r w:rsidRPr="00756A90"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 w:rsidRPr="00756A90">
              <w:rPr>
                <w:rFonts w:ascii="Arial" w:hAnsi="Arial" w:cs="Arial"/>
                <w:sz w:val="18"/>
                <w:szCs w:val="18"/>
              </w:rPr>
              <w:t>+ upravičencem projektov v partnerstvih za sodelovanje omogoča, da zaprosijo za pavšalni znesek za izvajanje svojih projektov.</w:t>
            </w:r>
          </w:p>
        </w:tc>
      </w:tr>
    </w:tbl>
    <w:p w:rsidR="00072B6E" w:rsidRPr="00756A90" w:rsidRDefault="00AB330E" w:rsidP="005958A2">
      <w:pPr>
        <w:jc w:val="both"/>
        <w:rPr>
          <w:rFonts w:ascii="Arial" w:hAnsi="Arial" w:cs="Arial"/>
          <w:sz w:val="18"/>
          <w:szCs w:val="18"/>
        </w:rPr>
      </w:pPr>
      <w:r w:rsidRPr="00756A90">
        <w:rPr>
          <w:rFonts w:ascii="Arial" w:hAnsi="Arial" w:cs="Arial"/>
          <w:sz w:val="18"/>
          <w:szCs w:val="18"/>
        </w:rPr>
        <w:t xml:space="preserve"> </w:t>
      </w:r>
      <w:r w:rsidR="00E122D5" w:rsidRPr="00756A90">
        <w:rPr>
          <w:rFonts w:ascii="Arial" w:hAnsi="Arial" w:cs="Arial"/>
          <w:sz w:val="18"/>
          <w:szCs w:val="18"/>
        </w:rPr>
        <w:t>Vir: Evropska komisija</w:t>
      </w:r>
    </w:p>
    <w:p w:rsidR="00756A90" w:rsidRDefault="00756A90" w:rsidP="005958A2">
      <w:pPr>
        <w:jc w:val="both"/>
        <w:rPr>
          <w:rFonts w:ascii="Arial" w:hAnsi="Arial" w:cs="Arial"/>
          <w:b/>
          <w:sz w:val="20"/>
          <w:szCs w:val="20"/>
        </w:rPr>
      </w:pPr>
    </w:p>
    <w:p w:rsidR="00756A90" w:rsidRDefault="00756A90" w:rsidP="005958A2">
      <w:pPr>
        <w:jc w:val="both"/>
        <w:rPr>
          <w:rFonts w:ascii="Arial" w:hAnsi="Arial" w:cs="Arial"/>
          <w:b/>
          <w:sz w:val="20"/>
          <w:szCs w:val="20"/>
        </w:rPr>
      </w:pPr>
    </w:p>
    <w:p w:rsidR="00E122D5" w:rsidRPr="005958A2" w:rsidRDefault="00E122D5" w:rsidP="005958A2">
      <w:pPr>
        <w:jc w:val="both"/>
        <w:rPr>
          <w:rFonts w:ascii="Arial" w:hAnsi="Arial" w:cs="Arial"/>
          <w:b/>
          <w:sz w:val="20"/>
          <w:szCs w:val="20"/>
        </w:rPr>
      </w:pPr>
      <w:r w:rsidRPr="005958A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E122D5" w:rsidRPr="005958A2" w:rsidRDefault="00E122D5" w:rsidP="005958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A2">
        <w:rPr>
          <w:rFonts w:ascii="Arial" w:hAnsi="Arial" w:cs="Arial"/>
          <w:sz w:val="20"/>
          <w:szCs w:val="20"/>
        </w:rPr>
        <w:t>Letni program:</w:t>
      </w:r>
    </w:p>
    <w:p w:rsidR="00E122D5" w:rsidRPr="005958A2" w:rsidRDefault="00E122D5" w:rsidP="005958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958A2">
          <w:rPr>
            <w:rStyle w:val="Hiperpovezava"/>
            <w:rFonts w:ascii="Arial" w:hAnsi="Arial" w:cs="Arial"/>
            <w:sz w:val="20"/>
            <w:szCs w:val="20"/>
          </w:rPr>
          <w:t>https://erasmus-plus.ec.europa.eu/document/2022-annual-work-programme-erasmus-the-union-programme-for-education-training-youth-and-sport</w:t>
        </w:r>
      </w:hyperlink>
    </w:p>
    <w:p w:rsidR="00E122D5" w:rsidRPr="005958A2" w:rsidRDefault="00E122D5" w:rsidP="005958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A2">
        <w:rPr>
          <w:rFonts w:ascii="Arial" w:hAnsi="Arial" w:cs="Arial"/>
          <w:sz w:val="20"/>
          <w:szCs w:val="20"/>
        </w:rPr>
        <w:t>Razpis:</w:t>
      </w:r>
    </w:p>
    <w:p w:rsidR="00E122D5" w:rsidRPr="005958A2" w:rsidRDefault="00820FBD" w:rsidP="005958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958A2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https://eur-lex.europa.eu/legal-content/SL/TXT/?qid=1637738792217&amp;uri=OJ%3AJOC_2021_473_R_0009</w:t>
        </w:r>
      </w:hyperlink>
    </w:p>
    <w:p w:rsidR="00820FBD" w:rsidRPr="005958A2" w:rsidRDefault="00820FBD" w:rsidP="005958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58A2">
        <w:rPr>
          <w:rFonts w:ascii="Arial" w:hAnsi="Arial" w:cs="Arial"/>
          <w:sz w:val="20"/>
          <w:szCs w:val="20"/>
        </w:rPr>
        <w:t>Pripravila:</w:t>
      </w:r>
    </w:p>
    <w:p w:rsidR="00820FBD" w:rsidRPr="005958A2" w:rsidRDefault="00820FBD" w:rsidP="005958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58A2">
        <w:rPr>
          <w:rFonts w:ascii="Arial" w:hAnsi="Arial" w:cs="Arial"/>
          <w:sz w:val="20"/>
          <w:szCs w:val="20"/>
        </w:rPr>
        <w:t>Darja Kocbek</w:t>
      </w:r>
    </w:p>
    <w:sectPr w:rsidR="00820FBD" w:rsidRPr="005958A2" w:rsidSect="0007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3DE6"/>
    <w:multiLevelType w:val="hybridMultilevel"/>
    <w:tmpl w:val="CA886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30E"/>
    <w:rsid w:val="00072B6E"/>
    <w:rsid w:val="005958A2"/>
    <w:rsid w:val="00756A90"/>
    <w:rsid w:val="00820FBD"/>
    <w:rsid w:val="00AB330E"/>
    <w:rsid w:val="00E1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B6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6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464811228msonospacing">
    <w:name w:val="yiv6464811228msonospacing"/>
    <w:basedOn w:val="Navaden"/>
    <w:rsid w:val="00AB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B330E"/>
    <w:rPr>
      <w:color w:val="0000FF"/>
      <w:u w:val="single"/>
    </w:rPr>
  </w:style>
  <w:style w:type="table" w:styleId="Tabela-mrea">
    <w:name w:val="Table Grid"/>
    <w:basedOn w:val="Navadnatabela"/>
    <w:uiPriority w:val="59"/>
    <w:rsid w:val="00AB3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AB330E"/>
    <w:rPr>
      <w:b/>
      <w:bCs/>
    </w:rPr>
  </w:style>
  <w:style w:type="paragraph" w:styleId="Odstavekseznama">
    <w:name w:val="List Paragraph"/>
    <w:basedOn w:val="Navaden"/>
    <w:uiPriority w:val="34"/>
    <w:qFormat/>
    <w:rsid w:val="005958A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56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6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L/TXT/?qid=1637738792217&amp;uri=OJ%3AJOC_2021_473_R_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document/2022-annual-work-programme-erasmus-the-union-programme-for-education-training-youth-and-spor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2021-11-24T19:01:00Z</dcterms:created>
  <dcterms:modified xsi:type="dcterms:W3CDTF">2021-11-24T19:25:00Z</dcterms:modified>
</cp:coreProperties>
</file>