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E1" w:rsidRPr="00D5331F" w:rsidRDefault="000102E1" w:rsidP="000102E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2E1" w:rsidRPr="00C446CC" w:rsidRDefault="000102E1" w:rsidP="000102E1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0102E1" w:rsidRPr="00C446CC" w:rsidRDefault="000102E1" w:rsidP="000102E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102E1" w:rsidRDefault="000102E1" w:rsidP="000102E1">
      <w:pPr>
        <w:tabs>
          <w:tab w:val="left" w:pos="3120"/>
        </w:tabs>
        <w:spacing w:after="0" w:afterAutospacing="0"/>
        <w:rPr>
          <w:b/>
        </w:rPr>
      </w:pPr>
      <w:r w:rsidRPr="00C446CC">
        <w:rPr>
          <w:b/>
        </w:rPr>
        <w:tab/>
      </w:r>
    </w:p>
    <w:p w:rsidR="000102E1" w:rsidRPr="003227EF" w:rsidRDefault="000102E1" w:rsidP="000102E1">
      <w:pPr>
        <w:tabs>
          <w:tab w:val="left" w:pos="3120"/>
        </w:tabs>
        <w:spacing w:after="0" w:afterAutospacing="0"/>
        <w:jc w:val="center"/>
        <w:rPr>
          <w:b/>
        </w:rPr>
      </w:pPr>
      <w:r w:rsidRPr="003227EF">
        <w:rPr>
          <w:b/>
        </w:rPr>
        <w:t>Občasna informacija članom 1</w:t>
      </w:r>
      <w:r>
        <w:rPr>
          <w:b/>
        </w:rPr>
        <w:t>7</w:t>
      </w:r>
      <w:r w:rsidRPr="003227EF">
        <w:rPr>
          <w:b/>
        </w:rPr>
        <w:t xml:space="preserve"> – 2019</w:t>
      </w:r>
    </w:p>
    <w:p w:rsidR="000102E1" w:rsidRDefault="000102E1" w:rsidP="000102E1">
      <w:pPr>
        <w:tabs>
          <w:tab w:val="left" w:pos="3120"/>
        </w:tabs>
        <w:spacing w:after="0" w:afterAutospacing="0"/>
        <w:jc w:val="center"/>
        <w:rPr>
          <w:b/>
        </w:rPr>
      </w:pPr>
    </w:p>
    <w:p w:rsidR="000102E1" w:rsidRPr="003227EF" w:rsidRDefault="000102E1" w:rsidP="000102E1">
      <w:pPr>
        <w:tabs>
          <w:tab w:val="left" w:pos="3120"/>
        </w:tabs>
        <w:spacing w:after="0" w:afterAutospacing="0"/>
        <w:jc w:val="center"/>
        <w:rPr>
          <w:b/>
        </w:rPr>
      </w:pPr>
      <w:r>
        <w:rPr>
          <w:b/>
        </w:rPr>
        <w:t>04</w:t>
      </w:r>
      <w:r w:rsidRPr="003227EF">
        <w:rPr>
          <w:b/>
        </w:rPr>
        <w:t xml:space="preserve">. </w:t>
      </w:r>
      <w:r>
        <w:rPr>
          <w:b/>
        </w:rPr>
        <w:t>februar</w:t>
      </w:r>
      <w:r w:rsidRPr="003227EF">
        <w:rPr>
          <w:b/>
        </w:rPr>
        <w:t xml:space="preserve"> 2019</w:t>
      </w:r>
    </w:p>
    <w:p w:rsidR="000102E1" w:rsidRDefault="000102E1" w:rsidP="000102E1">
      <w:pPr>
        <w:spacing w:after="0" w:afterAutospacing="0"/>
        <w:rPr>
          <w:b/>
          <w:color w:val="993300"/>
          <w:sz w:val="32"/>
          <w:szCs w:val="32"/>
        </w:rPr>
      </w:pPr>
    </w:p>
    <w:p w:rsidR="000102E1" w:rsidRDefault="000102E1" w:rsidP="004806E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Posvetovanja Evropske komisije za preučitev možnosti za po</w:t>
      </w:r>
      <w:r w:rsidR="004806E1">
        <w:rPr>
          <w:b/>
          <w:color w:val="993300"/>
          <w:sz w:val="32"/>
          <w:szCs w:val="32"/>
        </w:rPr>
        <w:t>večanje mednarodne vloge evra</w:t>
      </w:r>
    </w:p>
    <w:p w:rsidR="004B1DE5" w:rsidRPr="000102E1" w:rsidRDefault="00502070" w:rsidP="000102E1">
      <w:pPr>
        <w:rPr>
          <w:rFonts w:ascii="Arial" w:hAnsi="Arial" w:cs="Arial"/>
          <w:b/>
          <w:i/>
        </w:rPr>
      </w:pPr>
      <w:r w:rsidRPr="000102E1">
        <w:rPr>
          <w:rFonts w:ascii="Arial" w:hAnsi="Arial" w:cs="Arial"/>
          <w:b/>
          <w:i/>
        </w:rPr>
        <w:t xml:space="preserve">Evropska komisija je začela </w:t>
      </w:r>
      <w:r w:rsidR="002E2E89" w:rsidRPr="000102E1">
        <w:rPr>
          <w:rFonts w:ascii="Arial" w:hAnsi="Arial" w:cs="Arial"/>
          <w:b/>
          <w:i/>
        </w:rPr>
        <w:t>posvetovanja</w:t>
      </w:r>
      <w:r w:rsidRPr="000102E1">
        <w:rPr>
          <w:rFonts w:ascii="Arial" w:hAnsi="Arial" w:cs="Arial"/>
          <w:b/>
          <w:i/>
        </w:rPr>
        <w:t xml:space="preserve"> za preučitev možnosti za povečanje mednarodne vloge evra. Tokratno posvetovanje je namenjeno finančnim institucijam in drugim deležnikom, ki se dobro spoznajo na mednarodne devizne trge. </w:t>
      </w:r>
      <w:r w:rsidR="002E2E89" w:rsidRPr="000102E1">
        <w:rPr>
          <w:rFonts w:ascii="Arial" w:hAnsi="Arial" w:cs="Arial"/>
          <w:b/>
          <w:i/>
        </w:rPr>
        <w:t xml:space="preserve">Pred tem posvetovanjem je Evropska komisija že začela posvetovanja za preučitev možnosti za povečanje mednarodne vloge evra  v sektorjih </w:t>
      </w:r>
      <w:r w:rsidR="001E1A68" w:rsidRPr="000102E1">
        <w:rPr>
          <w:rFonts w:ascii="Arial" w:hAnsi="Arial" w:cs="Arial"/>
          <w:b/>
          <w:i/>
        </w:rPr>
        <w:t>kmetijsk</w:t>
      </w:r>
      <w:r w:rsidR="002E2E89" w:rsidRPr="000102E1">
        <w:rPr>
          <w:rFonts w:ascii="Arial" w:hAnsi="Arial" w:cs="Arial"/>
          <w:b/>
          <w:i/>
        </w:rPr>
        <w:t>ih</w:t>
      </w:r>
      <w:r w:rsidR="001E1A68" w:rsidRPr="000102E1">
        <w:rPr>
          <w:rFonts w:ascii="Arial" w:hAnsi="Arial" w:cs="Arial"/>
          <w:b/>
          <w:i/>
        </w:rPr>
        <w:t xml:space="preserve"> in prehransk</w:t>
      </w:r>
      <w:r w:rsidR="002E2E89" w:rsidRPr="000102E1">
        <w:rPr>
          <w:rFonts w:ascii="Arial" w:hAnsi="Arial" w:cs="Arial"/>
          <w:b/>
          <w:i/>
        </w:rPr>
        <w:t>ih proizvodov, kovin</w:t>
      </w:r>
      <w:r w:rsidR="001E1A68" w:rsidRPr="000102E1">
        <w:rPr>
          <w:rFonts w:ascii="Arial" w:hAnsi="Arial" w:cs="Arial"/>
          <w:b/>
          <w:i/>
        </w:rPr>
        <w:t xml:space="preserve"> in </w:t>
      </w:r>
      <w:r w:rsidR="002E2E89" w:rsidRPr="000102E1">
        <w:rPr>
          <w:rFonts w:ascii="Arial" w:hAnsi="Arial" w:cs="Arial"/>
          <w:b/>
          <w:i/>
        </w:rPr>
        <w:t>mineralov,</w:t>
      </w:r>
      <w:r w:rsidR="001E1A68" w:rsidRPr="000102E1">
        <w:rPr>
          <w:rFonts w:ascii="Arial" w:hAnsi="Arial" w:cs="Arial"/>
          <w:b/>
          <w:i/>
        </w:rPr>
        <w:t xml:space="preserve"> na področju letalstva, pomorskega in železniškega prometa. Naslednje posvetovanje v tem nizu bo posvetovanje o energiji. Člani lahko na SBRA dobijo dodatne informacije o celotnem nizu posvetovanj.</w:t>
      </w:r>
    </w:p>
    <w:p w:rsidR="004B1DE5" w:rsidRPr="000102E1" w:rsidRDefault="004B1DE5" w:rsidP="000102E1">
      <w:p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Namen posvetovanja o vlogi evra na deviznih trgih je oceniti vlogo evra na teh trgih zlasti v primerjavi z drugimi pomembnimi valutami, ter ugotoviti, ali se z evrom trguje učinkovito in na podlagi ustrezne likvidnosti trga.</w:t>
      </w:r>
    </w:p>
    <w:p w:rsidR="004B1DE5" w:rsidRPr="000102E1" w:rsidRDefault="004B1DE5" w:rsidP="000102E1">
      <w:p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 xml:space="preserve">Namen posvetovanja o vlogi evra na področju surovin (kovin in mineralov) ter agroživilskih proizvodov je najti načine za povečanje obsega trgovine, </w:t>
      </w:r>
      <w:proofErr w:type="spellStart"/>
      <w:r w:rsidRPr="000102E1">
        <w:rPr>
          <w:rFonts w:ascii="Arial" w:hAnsi="Arial" w:cs="Arial"/>
          <w:sz w:val="20"/>
          <w:szCs w:val="20"/>
        </w:rPr>
        <w:t>denominirane</w:t>
      </w:r>
      <w:proofErr w:type="spellEnd"/>
      <w:r w:rsidRPr="000102E1">
        <w:rPr>
          <w:rFonts w:ascii="Arial" w:hAnsi="Arial" w:cs="Arial"/>
          <w:sz w:val="20"/>
          <w:szCs w:val="20"/>
        </w:rPr>
        <w:t xml:space="preserve"> v evrih. Enako  velja za posvetovanje za preučitev morebitnih ukrepov, namenjenih spodbujanju uporabe evra v sektorju proizvodnje prevoznih sredstev.</w:t>
      </w:r>
    </w:p>
    <w:p w:rsidR="001E1A68" w:rsidRPr="000102E1" w:rsidRDefault="009010D3" w:rsidP="000102E1">
      <w:p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Evropska komisija bo 14. februarja v Bruslju organizirala delavnico za povečanje mednarodne vloge evra na področju energije. Za udeležbo se je že mogoče registrirati. Delavnica je mišljena kot izmenjava mnenj deležnikov o mehanizmih za implementacijo priporočil Evropske komisije o mednarodni vlogi evra na področju energije, ki jih je objavila decembra 2018.</w:t>
      </w:r>
    </w:p>
    <w:p w:rsidR="009010D3" w:rsidRPr="000102E1" w:rsidRDefault="009010D3" w:rsidP="000102E1">
      <w:p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 xml:space="preserve">Vsa posvetovanja temeljijo na komunikaciji Evropske komisije o povečanju mednarodne vloge evra. </w:t>
      </w:r>
    </w:p>
    <w:p w:rsidR="004B1DE5" w:rsidRPr="000102E1" w:rsidRDefault="004B1DE5" w:rsidP="000102E1">
      <w:pPr>
        <w:rPr>
          <w:rFonts w:ascii="Arial" w:hAnsi="Arial" w:cs="Arial"/>
          <w:b/>
          <w:sz w:val="20"/>
          <w:szCs w:val="20"/>
        </w:rPr>
      </w:pPr>
      <w:r w:rsidRPr="000102E1">
        <w:rPr>
          <w:rFonts w:ascii="Arial" w:hAnsi="Arial" w:cs="Arial"/>
          <w:b/>
          <w:sz w:val="20"/>
          <w:szCs w:val="20"/>
        </w:rPr>
        <w:t>Koristne informacije:</w:t>
      </w:r>
    </w:p>
    <w:p w:rsidR="004B1DE5" w:rsidRPr="000102E1" w:rsidRDefault="004B1DE5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Predlog za okrepite</w:t>
      </w:r>
      <w:r w:rsidR="006E1DB9" w:rsidRPr="000102E1">
        <w:rPr>
          <w:rFonts w:ascii="Arial" w:hAnsi="Arial" w:cs="Arial"/>
          <w:sz w:val="20"/>
          <w:szCs w:val="20"/>
        </w:rPr>
        <w:t>v vloge evra v svetu:</w:t>
      </w:r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https://ec.europa.eu/info/files/communication-towards-stronger-international-role-euro_en</w:t>
        </w:r>
      </w:hyperlink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Predlog za okrepitev vloge evra na področju energije:</w:t>
      </w:r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https://ec.europa.eu/info/publications/recommendation-international-role-euro-field-energy_en</w:t>
        </w:r>
      </w:hyperlink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Napoved delavnice 14. februarja:</w:t>
      </w:r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https://ec.europa.eu/info/events/international-role-euro-field-energy-2019-feb-14_en</w:t>
        </w:r>
      </w:hyperlink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Posvetovanje o evru na deviznih trgih:</w:t>
      </w:r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https://ec.europa.eu/info/consultations/finance-2019-euro-foreign-exchange_sl</w:t>
        </w:r>
      </w:hyperlink>
    </w:p>
    <w:p w:rsidR="006E1DB9" w:rsidRPr="000102E1" w:rsidRDefault="006E1DB9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 xml:space="preserve">Posvetovanje o evru na </w:t>
      </w:r>
      <w:r w:rsidR="00B86BAB" w:rsidRPr="000102E1">
        <w:rPr>
          <w:rFonts w:ascii="Arial" w:hAnsi="Arial" w:cs="Arial"/>
          <w:sz w:val="20"/>
          <w:szCs w:val="20"/>
        </w:rPr>
        <w:t>področju kmetijskih in prehranskih proizvodov:</w:t>
      </w:r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https://ec.europa.eu/eusurvey/runner/Euro_international_agri_trade_survey2019</w:t>
        </w:r>
      </w:hyperlink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Posvetovanje o evru na področju kovin in mineralov:</w:t>
      </w:r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https://ec.europa.eu/eusurvey/runner/UseofeuroRawMaterials</w:t>
        </w:r>
      </w:hyperlink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Posvetovanje o evru na področju proizvodnje prometnih sredstev na področju letalstva:</w:t>
      </w:r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https://ec.europa.eu/eusurvey/runner/EuroFORaircrafts</w:t>
        </w:r>
      </w:hyperlink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Posvetovanje o evru na področju prometnih sredstev za pomorstvo in železnico:</w:t>
      </w:r>
    </w:p>
    <w:p w:rsidR="00B86BAB" w:rsidRPr="000102E1" w:rsidRDefault="00B86BAB" w:rsidP="000102E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3" w:history="1">
        <w:r w:rsidRPr="000102E1">
          <w:rPr>
            <w:rStyle w:val="Hiperpovezava"/>
            <w:rFonts w:ascii="Arial" w:hAnsi="Arial" w:cs="Arial"/>
            <w:sz w:val="20"/>
            <w:szCs w:val="20"/>
          </w:rPr>
          <w:t>https://ec.europa.eu/eusurvey/runner/UseofEuroMaritimeRail</w:t>
        </w:r>
      </w:hyperlink>
    </w:p>
    <w:p w:rsidR="00B86BAB" w:rsidRPr="000102E1" w:rsidRDefault="00B86BAB" w:rsidP="000102E1">
      <w:p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Pripravila:</w:t>
      </w:r>
    </w:p>
    <w:p w:rsidR="00B86BAB" w:rsidRPr="000102E1" w:rsidRDefault="00B86BAB" w:rsidP="000102E1">
      <w:pPr>
        <w:rPr>
          <w:rFonts w:ascii="Arial" w:hAnsi="Arial" w:cs="Arial"/>
          <w:sz w:val="20"/>
          <w:szCs w:val="20"/>
        </w:rPr>
      </w:pPr>
      <w:r w:rsidRPr="000102E1">
        <w:rPr>
          <w:rFonts w:ascii="Arial" w:hAnsi="Arial" w:cs="Arial"/>
          <w:sz w:val="20"/>
          <w:szCs w:val="20"/>
        </w:rPr>
        <w:t>Darja Kocbek</w:t>
      </w:r>
    </w:p>
    <w:p w:rsidR="006E1DB9" w:rsidRDefault="006E1DB9"/>
    <w:sectPr w:rsidR="006E1DB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37DB"/>
    <w:multiLevelType w:val="hybridMultilevel"/>
    <w:tmpl w:val="2BF48F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070"/>
    <w:rsid w:val="000102E1"/>
    <w:rsid w:val="001E1A68"/>
    <w:rsid w:val="002E2E89"/>
    <w:rsid w:val="003B3E97"/>
    <w:rsid w:val="004806E1"/>
    <w:rsid w:val="004B1DE5"/>
    <w:rsid w:val="00502070"/>
    <w:rsid w:val="006E1DB9"/>
    <w:rsid w:val="009010D3"/>
    <w:rsid w:val="00B459D4"/>
    <w:rsid w:val="00B8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0102E1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0207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102E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102E1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2E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events/international-role-euro-field-energy-2019-feb-14_en" TargetMode="External"/><Relationship Id="rId13" Type="http://schemas.openxmlformats.org/officeDocument/2006/relationships/hyperlink" Target="https://ec.europa.eu/eusurvey/runner/UseofEuroMaritimeR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publications/recommendation-international-role-euro-field-energy_en" TargetMode="External"/><Relationship Id="rId12" Type="http://schemas.openxmlformats.org/officeDocument/2006/relationships/hyperlink" Target="https://ec.europa.eu/eusurvey/runner/EuroFORaircraf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communication-towards-stronger-international-role-euro_en" TargetMode="External"/><Relationship Id="rId11" Type="http://schemas.openxmlformats.org/officeDocument/2006/relationships/hyperlink" Target="https://ec.europa.eu/eusurvey/runner/UseofeuroRawMaterial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c.europa.eu/eusurvey/runner/Euro_international_agri_trade_survey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consultations/finance-2019-euro-foreign-exchange_s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520</Words>
  <Characters>3122</Characters>
  <Application>Microsoft Office Word</Application>
  <DocSecurity>0</DocSecurity>
  <Lines>48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2019-01-29T19:00:00Z</dcterms:created>
  <dcterms:modified xsi:type="dcterms:W3CDTF">2019-01-29T20:19:00Z</dcterms:modified>
</cp:coreProperties>
</file>