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BEE" w:rsidRPr="00083714" w:rsidRDefault="00FA0BEE" w:rsidP="00FA0BEE">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A0BEE" w:rsidRPr="00083714" w:rsidRDefault="00FA0BEE" w:rsidP="00FA0BEE">
      <w:pPr>
        <w:pStyle w:val="Naslov2"/>
        <w:tabs>
          <w:tab w:val="left" w:pos="3120"/>
        </w:tabs>
        <w:spacing w:before="0"/>
        <w:jc w:val="center"/>
        <w:rPr>
          <w:sz w:val="22"/>
        </w:rPr>
      </w:pPr>
    </w:p>
    <w:p w:rsidR="00FA0BEE" w:rsidRPr="00083714" w:rsidRDefault="00FA0BEE" w:rsidP="00FA0BEE">
      <w:pPr>
        <w:pStyle w:val="Naslov2"/>
        <w:tabs>
          <w:tab w:val="left" w:pos="3120"/>
        </w:tabs>
        <w:spacing w:before="0"/>
        <w:jc w:val="center"/>
        <w:rPr>
          <w:b w:val="0"/>
          <w:bCs w:val="0"/>
          <w:i/>
          <w:iCs/>
          <w:sz w:val="22"/>
        </w:rPr>
      </w:pPr>
      <w:r w:rsidRPr="00083714">
        <w:rPr>
          <w:sz w:val="22"/>
        </w:rPr>
        <w:t>Slovensko gospodarsko in raziskovalno združenje, Bruselj</w:t>
      </w:r>
    </w:p>
    <w:p w:rsidR="00FA0BEE" w:rsidRPr="00083714" w:rsidRDefault="00FA0BEE" w:rsidP="00FA0BEE">
      <w:pPr>
        <w:pBdr>
          <w:bottom w:val="single" w:sz="6" w:space="1" w:color="auto"/>
        </w:pBdr>
        <w:tabs>
          <w:tab w:val="left" w:pos="3120"/>
        </w:tabs>
        <w:jc w:val="center"/>
        <w:rPr>
          <w:sz w:val="16"/>
          <w:szCs w:val="16"/>
        </w:rPr>
      </w:pPr>
    </w:p>
    <w:p w:rsidR="00FA0BEE" w:rsidRDefault="00FA0BEE" w:rsidP="00FA0BEE">
      <w:pPr>
        <w:tabs>
          <w:tab w:val="left" w:pos="3120"/>
        </w:tabs>
        <w:rPr>
          <w:b/>
        </w:rPr>
      </w:pPr>
      <w:r w:rsidRPr="00083714">
        <w:rPr>
          <w:b/>
        </w:rPr>
        <w:tab/>
      </w:r>
    </w:p>
    <w:p w:rsidR="00FA0BEE" w:rsidRPr="00083714" w:rsidRDefault="00FA0BEE" w:rsidP="00FA0BEE">
      <w:pPr>
        <w:tabs>
          <w:tab w:val="left" w:pos="3120"/>
        </w:tabs>
        <w:jc w:val="center"/>
        <w:rPr>
          <w:b/>
        </w:rPr>
      </w:pPr>
      <w:r>
        <w:rPr>
          <w:b/>
        </w:rPr>
        <w:t>Občasna informacija članom 179</w:t>
      </w:r>
      <w:r w:rsidRPr="00083714">
        <w:rPr>
          <w:b/>
        </w:rPr>
        <w:t xml:space="preserve"> – 2019</w:t>
      </w:r>
    </w:p>
    <w:p w:rsidR="00FA0BEE" w:rsidRPr="00083714" w:rsidRDefault="00FA0BEE" w:rsidP="00FA0BEE">
      <w:pPr>
        <w:tabs>
          <w:tab w:val="left" w:pos="3120"/>
        </w:tabs>
        <w:jc w:val="center"/>
        <w:rPr>
          <w:b/>
        </w:rPr>
      </w:pPr>
      <w:r>
        <w:rPr>
          <w:b/>
        </w:rPr>
        <w:t>02</w:t>
      </w:r>
      <w:r w:rsidRPr="00083714">
        <w:rPr>
          <w:b/>
        </w:rPr>
        <w:t xml:space="preserve">. </w:t>
      </w:r>
      <w:r>
        <w:rPr>
          <w:b/>
        </w:rPr>
        <w:t>december</w:t>
      </w:r>
      <w:r w:rsidRPr="00083714">
        <w:rPr>
          <w:b/>
        </w:rPr>
        <w:t xml:space="preserve"> 2019</w:t>
      </w:r>
    </w:p>
    <w:p w:rsidR="00FA0BEE" w:rsidRDefault="00FA0BEE" w:rsidP="00FA0BEE">
      <w:pPr>
        <w:jc w:val="center"/>
        <w:rPr>
          <w:rFonts w:ascii="Arial" w:hAnsi="Arial" w:cs="Arial"/>
          <w:b/>
          <w:i/>
        </w:rPr>
      </w:pPr>
      <w:r>
        <w:rPr>
          <w:b/>
          <w:color w:val="993300"/>
          <w:sz w:val="32"/>
          <w:szCs w:val="32"/>
        </w:rPr>
        <w:t>Poročilo evropskega računskega sodišča o pogojnih obveznostih zaradi sodnih postopkov o propadajočih bankah</w:t>
      </w:r>
    </w:p>
    <w:p w:rsidR="002400A3" w:rsidRPr="00AB2A24" w:rsidRDefault="00E33AD0" w:rsidP="00AB2A24">
      <w:pPr>
        <w:jc w:val="both"/>
        <w:rPr>
          <w:rFonts w:ascii="Arial" w:hAnsi="Arial" w:cs="Arial"/>
          <w:b/>
          <w:i/>
        </w:rPr>
      </w:pPr>
      <w:r w:rsidRPr="00AB2A24">
        <w:rPr>
          <w:rFonts w:ascii="Arial" w:hAnsi="Arial" w:cs="Arial"/>
          <w:b/>
          <w:i/>
        </w:rPr>
        <w:t xml:space="preserve">Po navedbah v novem poročilu Evropskega računskega sodišča Enotni odbor za reševanje in Evropska komisija – skladno z računovodskimi pravili – nista razkrila nobenih pogojnih obveznosti, ki bi lahko nastale zaradi sodnih postopkov v teku v zvezi z njuno vlogo pri prenehanju propadajočih bank v </w:t>
      </w:r>
      <w:proofErr w:type="spellStart"/>
      <w:r w:rsidRPr="00AB2A24">
        <w:rPr>
          <w:rFonts w:ascii="Arial" w:hAnsi="Arial" w:cs="Arial"/>
          <w:b/>
          <w:i/>
        </w:rPr>
        <w:t>e</w:t>
      </w:r>
      <w:r w:rsidR="00073C80" w:rsidRPr="00AB2A24">
        <w:rPr>
          <w:rFonts w:ascii="Arial" w:hAnsi="Arial" w:cs="Arial"/>
          <w:b/>
          <w:i/>
        </w:rPr>
        <w:t>v</w:t>
      </w:r>
      <w:r w:rsidRPr="00AB2A24">
        <w:rPr>
          <w:rFonts w:ascii="Arial" w:hAnsi="Arial" w:cs="Arial"/>
          <w:b/>
          <w:i/>
        </w:rPr>
        <w:t>roobmočju</w:t>
      </w:r>
      <w:proofErr w:type="spellEnd"/>
      <w:r w:rsidRPr="00AB2A24">
        <w:rPr>
          <w:rFonts w:ascii="Arial" w:hAnsi="Arial" w:cs="Arial"/>
          <w:b/>
          <w:i/>
        </w:rPr>
        <w:t xml:space="preserve">. Hkrati je Enotni odbor za reševanje razkril pogojne obveznosti v višini 90 milijonov </w:t>
      </w:r>
      <w:r w:rsidR="00073C80" w:rsidRPr="00AB2A24">
        <w:rPr>
          <w:rFonts w:ascii="Arial" w:hAnsi="Arial" w:cs="Arial"/>
          <w:b/>
          <w:i/>
        </w:rPr>
        <w:t>evrov</w:t>
      </w:r>
      <w:r w:rsidRPr="00AB2A24">
        <w:rPr>
          <w:rFonts w:ascii="Arial" w:hAnsi="Arial" w:cs="Arial"/>
          <w:b/>
          <w:i/>
        </w:rPr>
        <w:t>, ki se nanašajo na sodne postopke na sodiščih EU in nacionalnih sodiščih, v katerih banke izpodbijajo svoje vnaprejšnje (predhodne) prispevke v enotni sklad za reševanje.</w:t>
      </w:r>
    </w:p>
    <w:p w:rsidR="00073C80" w:rsidRPr="00AB2A24" w:rsidRDefault="00E33AD0" w:rsidP="00AB2A24">
      <w:pPr>
        <w:jc w:val="both"/>
        <w:rPr>
          <w:rFonts w:ascii="Arial" w:hAnsi="Arial" w:cs="Arial"/>
          <w:sz w:val="20"/>
          <w:szCs w:val="20"/>
        </w:rPr>
      </w:pPr>
      <w:r w:rsidRPr="00AB2A24">
        <w:rPr>
          <w:rFonts w:ascii="Arial" w:hAnsi="Arial" w:cs="Arial"/>
          <w:sz w:val="20"/>
          <w:szCs w:val="20"/>
        </w:rPr>
        <w:t xml:space="preserve">Ob koncu leta 2018 je bilo na sodiščih EU proti Enotnemu odboru za reševanje in </w:t>
      </w:r>
      <w:r w:rsidR="00073C80" w:rsidRPr="00AB2A24">
        <w:rPr>
          <w:rFonts w:ascii="Arial" w:hAnsi="Arial" w:cs="Arial"/>
          <w:sz w:val="20"/>
          <w:szCs w:val="20"/>
        </w:rPr>
        <w:t>Evropski k</w:t>
      </w:r>
      <w:r w:rsidRPr="00AB2A24">
        <w:rPr>
          <w:rFonts w:ascii="Arial" w:hAnsi="Arial" w:cs="Arial"/>
          <w:sz w:val="20"/>
          <w:szCs w:val="20"/>
        </w:rPr>
        <w:t xml:space="preserve">omisiji v teku več kot sto sodnih postopkov, ki so se nanašali na njune naloge v zvezi z reševanjem bank, zlasti s prenehanjem banke </w:t>
      </w:r>
      <w:proofErr w:type="spellStart"/>
      <w:r w:rsidRPr="00AB2A24">
        <w:rPr>
          <w:rFonts w:ascii="Arial" w:hAnsi="Arial" w:cs="Arial"/>
          <w:sz w:val="20"/>
          <w:szCs w:val="20"/>
        </w:rPr>
        <w:t>Banco</w:t>
      </w:r>
      <w:proofErr w:type="spellEnd"/>
      <w:r w:rsidRPr="00AB2A24">
        <w:rPr>
          <w:rFonts w:ascii="Arial" w:hAnsi="Arial" w:cs="Arial"/>
          <w:sz w:val="20"/>
          <w:szCs w:val="20"/>
        </w:rPr>
        <w:t xml:space="preserve"> </w:t>
      </w:r>
      <w:proofErr w:type="spellStart"/>
      <w:r w:rsidRPr="00AB2A24">
        <w:rPr>
          <w:rFonts w:ascii="Arial" w:hAnsi="Arial" w:cs="Arial"/>
          <w:sz w:val="20"/>
          <w:szCs w:val="20"/>
        </w:rPr>
        <w:t>Popular</w:t>
      </w:r>
      <w:proofErr w:type="spellEnd"/>
      <w:r w:rsidRPr="00AB2A24">
        <w:rPr>
          <w:rFonts w:ascii="Arial" w:hAnsi="Arial" w:cs="Arial"/>
          <w:sz w:val="20"/>
          <w:szCs w:val="20"/>
        </w:rPr>
        <w:t xml:space="preserve"> </w:t>
      </w:r>
      <w:proofErr w:type="spellStart"/>
      <w:r w:rsidRPr="00AB2A24">
        <w:rPr>
          <w:rFonts w:ascii="Arial" w:hAnsi="Arial" w:cs="Arial"/>
          <w:sz w:val="20"/>
          <w:szCs w:val="20"/>
        </w:rPr>
        <w:t>Español</w:t>
      </w:r>
      <w:proofErr w:type="spellEnd"/>
      <w:r w:rsidRPr="00AB2A24">
        <w:rPr>
          <w:rFonts w:ascii="Arial" w:hAnsi="Arial" w:cs="Arial"/>
          <w:sz w:val="20"/>
          <w:szCs w:val="20"/>
        </w:rPr>
        <w:t xml:space="preserve"> S.A. Skladno z veljavnimi računovodskimi pravili bi morala Enotni odbor za reševanje in </w:t>
      </w:r>
      <w:r w:rsidR="00073C80" w:rsidRPr="00AB2A24">
        <w:rPr>
          <w:rFonts w:ascii="Arial" w:hAnsi="Arial" w:cs="Arial"/>
          <w:sz w:val="20"/>
          <w:szCs w:val="20"/>
        </w:rPr>
        <w:t>Evropska k</w:t>
      </w:r>
      <w:r w:rsidRPr="00AB2A24">
        <w:rPr>
          <w:rFonts w:ascii="Arial" w:hAnsi="Arial" w:cs="Arial"/>
          <w:sz w:val="20"/>
          <w:szCs w:val="20"/>
        </w:rPr>
        <w:t xml:space="preserve">omisija v svojih zaključnih računih pripoznati obveznosti ali rezervacije ali razkriti pogojne obveznosti, povezane s temi sodnimi postopki, če sta verjetnost odtoka gospodarskih dejavnikov ocenila kot zanesljivo, verjetno ali možno. Vendar niti Enotni odbor za reševanje niti </w:t>
      </w:r>
      <w:r w:rsidR="00073C80" w:rsidRPr="00AB2A24">
        <w:rPr>
          <w:rFonts w:ascii="Arial" w:hAnsi="Arial" w:cs="Arial"/>
          <w:sz w:val="20"/>
          <w:szCs w:val="20"/>
        </w:rPr>
        <w:t>Evropska k</w:t>
      </w:r>
      <w:r w:rsidRPr="00AB2A24">
        <w:rPr>
          <w:rFonts w:ascii="Arial" w:hAnsi="Arial" w:cs="Arial"/>
          <w:sz w:val="20"/>
          <w:szCs w:val="20"/>
        </w:rPr>
        <w:t>omisija tega nista naredila, saj sta to verjetnost ocenila kot malo verjetno.</w:t>
      </w:r>
    </w:p>
    <w:p w:rsidR="00E33AD0" w:rsidRPr="00AB2A24" w:rsidRDefault="00E33AD0" w:rsidP="00AB2A24">
      <w:pPr>
        <w:jc w:val="both"/>
        <w:rPr>
          <w:rFonts w:ascii="Arial" w:hAnsi="Arial" w:cs="Arial"/>
          <w:sz w:val="20"/>
          <w:szCs w:val="20"/>
        </w:rPr>
      </w:pPr>
      <w:r w:rsidRPr="00AB2A24">
        <w:rPr>
          <w:rFonts w:ascii="Arial" w:hAnsi="Arial" w:cs="Arial"/>
          <w:sz w:val="20"/>
          <w:szCs w:val="20"/>
        </w:rPr>
        <w:t xml:space="preserve"> Revizorji </w:t>
      </w:r>
      <w:r w:rsidR="00073C80" w:rsidRPr="00AB2A24">
        <w:rPr>
          <w:rFonts w:ascii="Arial" w:hAnsi="Arial" w:cs="Arial"/>
          <w:sz w:val="20"/>
          <w:szCs w:val="20"/>
        </w:rPr>
        <w:t xml:space="preserve">računskega sodišča </w:t>
      </w:r>
      <w:r w:rsidRPr="00AB2A24">
        <w:rPr>
          <w:rFonts w:ascii="Arial" w:hAnsi="Arial" w:cs="Arial"/>
          <w:sz w:val="20"/>
          <w:szCs w:val="20"/>
        </w:rPr>
        <w:t>niso odkrili dokazov, ki bi bili v nasprotju z njunimi ocenami, vendar so priporočili, naj se postopek Enotnega odbora za reševanje dodatno okrepi.</w:t>
      </w:r>
    </w:p>
    <w:p w:rsidR="00E33AD0" w:rsidRPr="00AB2A24" w:rsidRDefault="00073C80" w:rsidP="00AB2A24">
      <w:pPr>
        <w:jc w:val="both"/>
        <w:rPr>
          <w:rFonts w:ascii="Arial" w:hAnsi="Arial" w:cs="Arial"/>
          <w:sz w:val="20"/>
          <w:szCs w:val="20"/>
        </w:rPr>
      </w:pPr>
      <w:r w:rsidRPr="00AB2A24">
        <w:rPr>
          <w:rFonts w:ascii="Arial" w:hAnsi="Arial" w:cs="Arial"/>
          <w:sz w:val="20"/>
          <w:szCs w:val="20"/>
        </w:rPr>
        <w:t>Evropska k</w:t>
      </w:r>
      <w:r w:rsidR="00E33AD0" w:rsidRPr="00AB2A24">
        <w:rPr>
          <w:rFonts w:ascii="Arial" w:hAnsi="Arial" w:cs="Arial"/>
          <w:sz w:val="20"/>
          <w:szCs w:val="20"/>
        </w:rPr>
        <w:t xml:space="preserve">omisija je navedla, da ni mogoče, da bi katera od tožečih strank utrpela škodo, saj bi bila druga možnost insolventnost banke. Poudarila je tudi, da bo vsak delničar ali upnik, ki bi bil v nacionalnih </w:t>
      </w:r>
      <w:proofErr w:type="spellStart"/>
      <w:r w:rsidR="00E33AD0" w:rsidRPr="00AB2A24">
        <w:rPr>
          <w:rFonts w:ascii="Arial" w:hAnsi="Arial" w:cs="Arial"/>
          <w:sz w:val="20"/>
          <w:szCs w:val="20"/>
        </w:rPr>
        <w:t>insolvenčnih</w:t>
      </w:r>
      <w:proofErr w:type="spellEnd"/>
      <w:r w:rsidR="00E33AD0" w:rsidRPr="00AB2A24">
        <w:rPr>
          <w:rFonts w:ascii="Arial" w:hAnsi="Arial" w:cs="Arial"/>
          <w:sz w:val="20"/>
          <w:szCs w:val="20"/>
        </w:rPr>
        <w:t xml:space="preserve"> postopkih obravnavan bolje, prejel nadomestilo iz enotnega sklada za reševanje. Enotni odbor za reševanje trenutno preverja, ali takšni primeri obstajajo.</w:t>
      </w:r>
    </w:p>
    <w:p w:rsidR="00073C80" w:rsidRPr="00AB2A24" w:rsidRDefault="00073C80" w:rsidP="00AB2A24">
      <w:pPr>
        <w:jc w:val="both"/>
        <w:rPr>
          <w:rFonts w:ascii="Arial" w:hAnsi="Arial" w:cs="Arial"/>
          <w:b/>
          <w:sz w:val="20"/>
          <w:szCs w:val="20"/>
        </w:rPr>
      </w:pPr>
      <w:r w:rsidRPr="00AB2A24">
        <w:rPr>
          <w:rFonts w:ascii="Arial" w:hAnsi="Arial" w:cs="Arial"/>
          <w:b/>
          <w:sz w:val="20"/>
          <w:szCs w:val="20"/>
        </w:rPr>
        <w:t>Koristne informacije:</w:t>
      </w:r>
    </w:p>
    <w:p w:rsidR="00073C80" w:rsidRPr="00AB2A24" w:rsidRDefault="00073C80" w:rsidP="00AB2A24">
      <w:pPr>
        <w:pStyle w:val="Odstavekseznama"/>
        <w:numPr>
          <w:ilvl w:val="0"/>
          <w:numId w:val="1"/>
        </w:numPr>
        <w:jc w:val="both"/>
        <w:rPr>
          <w:rFonts w:ascii="Arial" w:hAnsi="Arial" w:cs="Arial"/>
          <w:sz w:val="20"/>
          <w:szCs w:val="20"/>
        </w:rPr>
      </w:pPr>
      <w:r w:rsidRPr="00AB2A24">
        <w:rPr>
          <w:rFonts w:ascii="Arial" w:hAnsi="Arial" w:cs="Arial"/>
          <w:sz w:val="20"/>
          <w:szCs w:val="20"/>
        </w:rPr>
        <w:t>Poročilo Evropskega računskega sodišča:</w:t>
      </w:r>
    </w:p>
    <w:p w:rsidR="00073C80" w:rsidRPr="00AB2A24" w:rsidRDefault="00073C80" w:rsidP="00AB2A24">
      <w:pPr>
        <w:pStyle w:val="Odstavekseznama"/>
        <w:numPr>
          <w:ilvl w:val="0"/>
          <w:numId w:val="1"/>
        </w:numPr>
        <w:jc w:val="both"/>
        <w:rPr>
          <w:rFonts w:ascii="Arial" w:hAnsi="Arial" w:cs="Arial"/>
          <w:sz w:val="20"/>
          <w:szCs w:val="20"/>
        </w:rPr>
      </w:pPr>
      <w:hyperlink r:id="rId6" w:history="1">
        <w:r w:rsidRPr="00AB2A24">
          <w:rPr>
            <w:rStyle w:val="Hiperpovezava"/>
            <w:rFonts w:ascii="Arial" w:hAnsi="Arial" w:cs="Arial"/>
            <w:sz w:val="20"/>
            <w:szCs w:val="20"/>
          </w:rPr>
          <w:t>https://www.eca.europa.eu/Lists/ECADocuments/SRB_2018_contingent_liabilities/SRB_2018_contingent_liabilities_SL.pdf</w:t>
        </w:r>
      </w:hyperlink>
    </w:p>
    <w:p w:rsidR="00073C80" w:rsidRPr="00AB2A24" w:rsidRDefault="00073C80" w:rsidP="00AB2A24">
      <w:pPr>
        <w:spacing w:after="0"/>
        <w:jc w:val="both"/>
        <w:rPr>
          <w:rFonts w:ascii="Arial" w:hAnsi="Arial" w:cs="Arial"/>
          <w:sz w:val="20"/>
          <w:szCs w:val="20"/>
        </w:rPr>
      </w:pPr>
      <w:r w:rsidRPr="00AB2A24">
        <w:rPr>
          <w:rFonts w:ascii="Arial" w:hAnsi="Arial" w:cs="Arial"/>
          <w:sz w:val="20"/>
          <w:szCs w:val="20"/>
        </w:rPr>
        <w:t>Pripravila:</w:t>
      </w:r>
      <w:r w:rsidR="00FA0BEE">
        <w:rPr>
          <w:rFonts w:ascii="Arial" w:hAnsi="Arial" w:cs="Arial"/>
          <w:sz w:val="20"/>
          <w:szCs w:val="20"/>
        </w:rPr>
        <w:t xml:space="preserve"> </w:t>
      </w:r>
      <w:r w:rsidRPr="00AB2A24">
        <w:rPr>
          <w:rFonts w:ascii="Arial" w:hAnsi="Arial" w:cs="Arial"/>
          <w:sz w:val="20"/>
          <w:szCs w:val="20"/>
        </w:rPr>
        <w:t>Darja Kocbek</w:t>
      </w:r>
    </w:p>
    <w:sectPr w:rsidR="00073C80" w:rsidRPr="00AB2A24" w:rsidSect="002400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C08B3"/>
    <w:multiLevelType w:val="hybridMultilevel"/>
    <w:tmpl w:val="D1424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33AD0"/>
    <w:rsid w:val="00073C80"/>
    <w:rsid w:val="002400A3"/>
    <w:rsid w:val="00AB2A24"/>
    <w:rsid w:val="00E33AD0"/>
    <w:rsid w:val="00FA0BE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00A3"/>
  </w:style>
  <w:style w:type="paragraph" w:styleId="Naslov2">
    <w:name w:val="heading 2"/>
    <w:basedOn w:val="Navaden"/>
    <w:next w:val="Navaden"/>
    <w:link w:val="Naslov2Znak"/>
    <w:uiPriority w:val="9"/>
    <w:semiHidden/>
    <w:unhideWhenUsed/>
    <w:qFormat/>
    <w:rsid w:val="00FA0BE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E33AD0"/>
    <w:rPr>
      <w:b/>
      <w:bCs/>
    </w:rPr>
  </w:style>
  <w:style w:type="character" w:styleId="Hiperpovezava">
    <w:name w:val="Hyperlink"/>
    <w:basedOn w:val="Privzetapisavaodstavka"/>
    <w:uiPriority w:val="99"/>
    <w:unhideWhenUsed/>
    <w:rsid w:val="00073C80"/>
    <w:rPr>
      <w:color w:val="0000FF" w:themeColor="hyperlink"/>
      <w:u w:val="single"/>
    </w:rPr>
  </w:style>
  <w:style w:type="paragraph" w:styleId="Odstavekseznama">
    <w:name w:val="List Paragraph"/>
    <w:basedOn w:val="Navaden"/>
    <w:uiPriority w:val="34"/>
    <w:qFormat/>
    <w:rsid w:val="00AB2A24"/>
    <w:pPr>
      <w:ind w:left="720"/>
      <w:contextualSpacing/>
    </w:pPr>
  </w:style>
  <w:style w:type="character" w:customStyle="1" w:styleId="Naslov2Znak">
    <w:name w:val="Naslov 2 Znak"/>
    <w:basedOn w:val="Privzetapisavaodstavka"/>
    <w:link w:val="Naslov2"/>
    <w:uiPriority w:val="9"/>
    <w:semiHidden/>
    <w:rsid w:val="00FA0BE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A0BE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A0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Lists/ECADocuments/SRB_2018_contingent_liabilities/SRB_2018_contingent_liabilities_SL.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2019-11-27T20:02:00Z</dcterms:created>
  <dcterms:modified xsi:type="dcterms:W3CDTF">2019-11-27T20:12:00Z</dcterms:modified>
</cp:coreProperties>
</file>