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F6" w:rsidRPr="00F973D8" w:rsidRDefault="00371FF6" w:rsidP="00371FF6">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71FF6" w:rsidRPr="00F973D8" w:rsidRDefault="00371FF6" w:rsidP="00371FF6">
      <w:pPr>
        <w:pStyle w:val="Naslov2"/>
        <w:tabs>
          <w:tab w:val="left" w:pos="3120"/>
        </w:tabs>
        <w:jc w:val="center"/>
        <w:rPr>
          <w:b w:val="0"/>
          <w:bCs w:val="0"/>
          <w:i/>
          <w:iCs/>
          <w:sz w:val="22"/>
        </w:rPr>
      </w:pPr>
      <w:r w:rsidRPr="00F973D8">
        <w:rPr>
          <w:b w:val="0"/>
          <w:bCs w:val="0"/>
          <w:sz w:val="22"/>
        </w:rPr>
        <w:t>Slovensko gospodarsko in raziskovalno združenje, Bruselj</w:t>
      </w:r>
    </w:p>
    <w:p w:rsidR="00371FF6" w:rsidRPr="00F973D8" w:rsidRDefault="00371FF6" w:rsidP="00371FF6">
      <w:pPr>
        <w:pBdr>
          <w:bottom w:val="single" w:sz="6" w:space="1" w:color="auto"/>
        </w:pBdr>
        <w:tabs>
          <w:tab w:val="left" w:pos="3120"/>
        </w:tabs>
        <w:jc w:val="center"/>
        <w:rPr>
          <w:sz w:val="16"/>
          <w:szCs w:val="16"/>
        </w:rPr>
      </w:pPr>
    </w:p>
    <w:p w:rsidR="00371FF6" w:rsidRDefault="00371FF6" w:rsidP="00371FF6">
      <w:pPr>
        <w:tabs>
          <w:tab w:val="left" w:pos="3120"/>
        </w:tabs>
        <w:jc w:val="center"/>
        <w:rPr>
          <w:rFonts w:ascii="Arial" w:hAnsi="Arial" w:cs="Arial"/>
          <w:b/>
        </w:rPr>
      </w:pPr>
    </w:p>
    <w:p w:rsidR="00371FF6" w:rsidRPr="00E71677" w:rsidRDefault="00371FF6" w:rsidP="00371FF6">
      <w:pPr>
        <w:tabs>
          <w:tab w:val="left" w:pos="3120"/>
        </w:tabs>
        <w:jc w:val="center"/>
        <w:rPr>
          <w:rFonts w:ascii="Arial" w:hAnsi="Arial" w:cs="Arial"/>
          <w:b/>
        </w:rPr>
      </w:pPr>
      <w:r>
        <w:rPr>
          <w:rFonts w:ascii="Arial" w:hAnsi="Arial" w:cs="Arial"/>
          <w:b/>
        </w:rPr>
        <w:t>Občasna informacija članom 179</w:t>
      </w:r>
      <w:r w:rsidRPr="00E71677">
        <w:rPr>
          <w:rFonts w:ascii="Arial" w:hAnsi="Arial" w:cs="Arial"/>
          <w:b/>
        </w:rPr>
        <w:t xml:space="preserve"> – 2017</w:t>
      </w:r>
    </w:p>
    <w:p w:rsidR="00371FF6" w:rsidRPr="00E71677" w:rsidRDefault="00371FF6" w:rsidP="00371FF6">
      <w:pPr>
        <w:pStyle w:val="Brezrazmikov"/>
        <w:jc w:val="center"/>
        <w:rPr>
          <w:rFonts w:ascii="Arial" w:hAnsi="Arial" w:cs="Arial"/>
          <w:b/>
        </w:rPr>
      </w:pPr>
    </w:p>
    <w:p w:rsidR="00371FF6" w:rsidRPr="00E71677" w:rsidRDefault="00371FF6" w:rsidP="00371FF6">
      <w:pPr>
        <w:pStyle w:val="Brezrazmikov"/>
        <w:jc w:val="center"/>
        <w:rPr>
          <w:rFonts w:ascii="Arial" w:hAnsi="Arial" w:cs="Arial"/>
          <w:b/>
        </w:rPr>
      </w:pPr>
      <w:r w:rsidRPr="00E71677">
        <w:rPr>
          <w:rFonts w:ascii="Arial" w:hAnsi="Arial" w:cs="Arial"/>
          <w:b/>
        </w:rPr>
        <w:t>04. december 2017</w:t>
      </w:r>
    </w:p>
    <w:p w:rsidR="00371FF6" w:rsidRDefault="00FF7DA2" w:rsidP="00FF7DA2">
      <w:pPr>
        <w:jc w:val="center"/>
        <w:rPr>
          <w:rFonts w:ascii="Arial" w:hAnsi="Arial" w:cs="Arial"/>
          <w:b/>
          <w:i/>
        </w:rPr>
      </w:pPr>
      <w:r>
        <w:rPr>
          <w:rFonts w:ascii="Arial" w:hAnsi="Arial" w:cs="Arial"/>
          <w:b/>
          <w:color w:val="993300"/>
          <w:sz w:val="32"/>
          <w:szCs w:val="32"/>
        </w:rPr>
        <w:t>Vzpostavljena je služba URBIS za pomoč mestom pri načrtovanju naložb</w:t>
      </w:r>
    </w:p>
    <w:p w:rsidR="007376A2" w:rsidRPr="00371FF6" w:rsidRDefault="007376A2" w:rsidP="00371FF6">
      <w:pPr>
        <w:rPr>
          <w:rFonts w:ascii="Arial" w:hAnsi="Arial" w:cs="Arial"/>
          <w:b/>
          <w:i/>
        </w:rPr>
      </w:pPr>
      <w:r w:rsidRPr="00371FF6">
        <w:rPr>
          <w:rFonts w:ascii="Arial" w:hAnsi="Arial" w:cs="Arial"/>
          <w:b/>
          <w:i/>
        </w:rPr>
        <w:t xml:space="preserve">Evropska komisija in Evropska investicijska banka (EIB) sta vzpostavili novo svetovalno za pomoč mestom. Služba URBIS (Urban </w:t>
      </w:r>
      <w:proofErr w:type="spellStart"/>
      <w:r w:rsidRPr="00371FF6">
        <w:rPr>
          <w:rFonts w:ascii="Arial" w:hAnsi="Arial" w:cs="Arial"/>
          <w:b/>
          <w:i/>
        </w:rPr>
        <w:t>Investment</w:t>
      </w:r>
      <w:proofErr w:type="spellEnd"/>
      <w:r w:rsidRPr="00371FF6">
        <w:rPr>
          <w:rFonts w:ascii="Arial" w:hAnsi="Arial" w:cs="Arial"/>
          <w:b/>
          <w:i/>
        </w:rPr>
        <w:t xml:space="preserve"> </w:t>
      </w:r>
      <w:proofErr w:type="spellStart"/>
      <w:r w:rsidRPr="00371FF6">
        <w:rPr>
          <w:rFonts w:ascii="Arial" w:hAnsi="Arial" w:cs="Arial"/>
          <w:b/>
          <w:i/>
        </w:rPr>
        <w:t>Support</w:t>
      </w:r>
      <w:proofErr w:type="spellEnd"/>
      <w:r w:rsidRPr="00371FF6">
        <w:rPr>
          <w:rFonts w:ascii="Arial" w:hAnsi="Arial" w:cs="Arial"/>
          <w:b/>
          <w:i/>
        </w:rPr>
        <w:t>) bo mestom pomagala načrtovati naložbe, da bi podprla njihove strategije razvoja mest in jim olajšala dostop do finančnih sredstev. Pri pobudi URBIS bodo sodelovali strokovnjaki iz različnih svetovalnih in projektnih služb EIB, vključno z njenimi zaposlenimi v državah članicah, in strokovnjaki neodvisne skupine JASPERS, namenjene posebej pripravi kakovostnih projektov, ki jih financira EU.</w:t>
      </w:r>
    </w:p>
    <w:p w:rsidR="007376A2" w:rsidRPr="00371FF6" w:rsidRDefault="007376A2" w:rsidP="00371FF6">
      <w:pPr>
        <w:rPr>
          <w:rFonts w:ascii="Arial" w:hAnsi="Arial" w:cs="Arial"/>
          <w:sz w:val="20"/>
          <w:szCs w:val="20"/>
        </w:rPr>
      </w:pPr>
      <w:r w:rsidRPr="00371FF6">
        <w:rPr>
          <w:rFonts w:ascii="Arial" w:hAnsi="Arial" w:cs="Arial"/>
          <w:sz w:val="20"/>
          <w:szCs w:val="20"/>
        </w:rPr>
        <w:t>Po potrebi bodo k sodelovanju povabljeni tudi strokovnjaki, ki bodo pojasnili, kako je sredstva EU mogoče združiti s financiranjem nacionalnih in lokalnih spodbujevalnih bank ter inovativnimi možnostmi financiranja. Prek spletne strani na Evropskem svetovalnem vozlišču za naložbe lahko za podporo službe URBIS zaprosijo mesta vseh velikosti v vseh državah članicah.</w:t>
      </w:r>
    </w:p>
    <w:p w:rsidR="00193834" w:rsidRPr="00371FF6" w:rsidRDefault="00193834" w:rsidP="00371FF6">
      <w:pPr>
        <w:rPr>
          <w:rFonts w:ascii="Arial" w:hAnsi="Arial" w:cs="Arial"/>
          <w:sz w:val="20"/>
          <w:szCs w:val="20"/>
        </w:rPr>
      </w:pPr>
      <w:r w:rsidRPr="00371FF6">
        <w:rPr>
          <w:rFonts w:ascii="Arial" w:hAnsi="Arial" w:cs="Arial"/>
          <w:sz w:val="20"/>
          <w:szCs w:val="20"/>
        </w:rPr>
        <w:t xml:space="preserve">URBIS bo med drugim mestom pomagal razviti projekte in naložbene programe do faze, v kateri bodo primerni za podporo bank, na primer z izvedbo analize povpraševanja ali zagotovitvijo podpore pri finančnem strukturiranju in pregledom osnutkov prošenj za nepovratna sredstva. Prav tako bo pomagal raziskati možnosti financiranja v okviru Evropskega sklada za strateške naložbe EFSI, ki je temelj </w:t>
      </w:r>
      <w:proofErr w:type="spellStart"/>
      <w:r w:rsidRPr="00371FF6">
        <w:rPr>
          <w:rFonts w:ascii="Arial" w:hAnsi="Arial" w:cs="Arial"/>
          <w:sz w:val="20"/>
          <w:szCs w:val="20"/>
        </w:rPr>
        <w:t>Junckerjevega</w:t>
      </w:r>
      <w:proofErr w:type="spellEnd"/>
      <w:r w:rsidRPr="00371FF6">
        <w:rPr>
          <w:rFonts w:ascii="Arial" w:hAnsi="Arial" w:cs="Arial"/>
          <w:sz w:val="20"/>
          <w:szCs w:val="20"/>
        </w:rPr>
        <w:t xml:space="preserve"> naložbenega načrta, ali skladov kohezijske politike, v okviru katerih naj bi v obdobju 2014–2020 v mestna območja vložili več kot 100 milijard evrov, ali v okviru obeh virov skupaj.</w:t>
      </w:r>
    </w:p>
    <w:p w:rsidR="00193834" w:rsidRPr="00371FF6" w:rsidRDefault="00193834" w:rsidP="00371FF6">
      <w:pPr>
        <w:rPr>
          <w:rFonts w:ascii="Arial" w:hAnsi="Arial" w:cs="Arial"/>
          <w:sz w:val="20"/>
          <w:szCs w:val="20"/>
        </w:rPr>
      </w:pPr>
      <w:r w:rsidRPr="00371FF6">
        <w:rPr>
          <w:rFonts w:ascii="Arial" w:hAnsi="Arial" w:cs="Arial"/>
          <w:sz w:val="20"/>
          <w:szCs w:val="20"/>
        </w:rPr>
        <w:t>URBIS bo mestom prav tako pomagal navezovati stike s finančnimi posredniki ter oblikovati izvedbene ureditve za te instrumente, pa tudi razviti pristope k financiranju, ki so namenjeni zmanjšanju bremena občinskega dolga.</w:t>
      </w:r>
    </w:p>
    <w:p w:rsidR="00193834" w:rsidRPr="00371FF6" w:rsidRDefault="00193834" w:rsidP="00371FF6">
      <w:pPr>
        <w:rPr>
          <w:rFonts w:ascii="Arial" w:hAnsi="Arial" w:cs="Arial"/>
          <w:b/>
          <w:sz w:val="20"/>
          <w:szCs w:val="20"/>
        </w:rPr>
      </w:pPr>
      <w:r w:rsidRPr="00371FF6">
        <w:rPr>
          <w:rFonts w:ascii="Arial" w:hAnsi="Arial" w:cs="Arial"/>
          <w:b/>
          <w:sz w:val="20"/>
          <w:szCs w:val="20"/>
        </w:rPr>
        <w:t>Koristne informacije:</w:t>
      </w:r>
    </w:p>
    <w:p w:rsidR="00193834" w:rsidRPr="00371FF6" w:rsidRDefault="000B5539" w:rsidP="00371FF6">
      <w:pPr>
        <w:pStyle w:val="Odstavekseznama"/>
        <w:numPr>
          <w:ilvl w:val="0"/>
          <w:numId w:val="2"/>
        </w:numPr>
        <w:rPr>
          <w:rFonts w:ascii="Arial" w:hAnsi="Arial" w:cs="Arial"/>
          <w:sz w:val="20"/>
          <w:szCs w:val="20"/>
        </w:rPr>
      </w:pPr>
      <w:r w:rsidRPr="00371FF6">
        <w:rPr>
          <w:rFonts w:ascii="Arial" w:hAnsi="Arial" w:cs="Arial"/>
          <w:sz w:val="20"/>
          <w:szCs w:val="20"/>
        </w:rPr>
        <w:t>Spletna stran z informacijami o URBIS:</w:t>
      </w:r>
    </w:p>
    <w:p w:rsidR="000B5539" w:rsidRPr="00371FF6" w:rsidRDefault="000B5539" w:rsidP="00371FF6">
      <w:pPr>
        <w:pStyle w:val="Odstavekseznama"/>
        <w:numPr>
          <w:ilvl w:val="0"/>
          <w:numId w:val="2"/>
        </w:numPr>
        <w:rPr>
          <w:rFonts w:ascii="Arial" w:hAnsi="Arial" w:cs="Arial"/>
          <w:sz w:val="20"/>
          <w:szCs w:val="20"/>
        </w:rPr>
      </w:pPr>
      <w:hyperlink r:id="rId6" w:history="1">
        <w:r w:rsidRPr="00371FF6">
          <w:rPr>
            <w:rStyle w:val="Hiperpovezava"/>
            <w:rFonts w:ascii="Arial" w:hAnsi="Arial" w:cs="Arial"/>
            <w:sz w:val="20"/>
            <w:szCs w:val="20"/>
          </w:rPr>
          <w:t>http://eiah.eib.org/about/initiative-urbis.htm</w:t>
        </w:r>
      </w:hyperlink>
    </w:p>
    <w:p w:rsidR="000B5539" w:rsidRPr="00371FF6" w:rsidRDefault="000B5539" w:rsidP="00371FF6">
      <w:pPr>
        <w:pStyle w:val="Odstavekseznama"/>
        <w:numPr>
          <w:ilvl w:val="0"/>
          <w:numId w:val="2"/>
        </w:numPr>
        <w:rPr>
          <w:rFonts w:ascii="Arial" w:hAnsi="Arial" w:cs="Arial"/>
          <w:sz w:val="20"/>
          <w:szCs w:val="20"/>
        </w:rPr>
      </w:pPr>
      <w:r w:rsidRPr="00371FF6">
        <w:rPr>
          <w:rFonts w:ascii="Arial" w:hAnsi="Arial" w:cs="Arial"/>
          <w:sz w:val="20"/>
          <w:szCs w:val="20"/>
        </w:rPr>
        <w:t>Evropsko svetovalno vozlišče za naložbe:</w:t>
      </w:r>
    </w:p>
    <w:p w:rsidR="000B5539" w:rsidRPr="00371FF6" w:rsidRDefault="000B5539" w:rsidP="00371FF6">
      <w:pPr>
        <w:pStyle w:val="Odstavekseznama"/>
        <w:numPr>
          <w:ilvl w:val="0"/>
          <w:numId w:val="2"/>
        </w:numPr>
        <w:rPr>
          <w:rFonts w:ascii="Arial" w:hAnsi="Arial" w:cs="Arial"/>
          <w:sz w:val="20"/>
          <w:szCs w:val="20"/>
        </w:rPr>
      </w:pPr>
      <w:hyperlink r:id="rId7" w:history="1">
        <w:r w:rsidRPr="00371FF6">
          <w:rPr>
            <w:rStyle w:val="Hiperpovezava"/>
            <w:rFonts w:ascii="Arial" w:hAnsi="Arial" w:cs="Arial"/>
            <w:sz w:val="20"/>
            <w:szCs w:val="20"/>
          </w:rPr>
          <w:t>http://eiah.eib.org/</w:t>
        </w:r>
      </w:hyperlink>
    </w:p>
    <w:p w:rsidR="000B5539" w:rsidRPr="00371FF6" w:rsidRDefault="000B5539" w:rsidP="00371FF6">
      <w:pPr>
        <w:rPr>
          <w:rFonts w:ascii="Arial" w:hAnsi="Arial" w:cs="Arial"/>
          <w:sz w:val="20"/>
          <w:szCs w:val="20"/>
        </w:rPr>
      </w:pPr>
      <w:r w:rsidRPr="00371FF6">
        <w:rPr>
          <w:rFonts w:ascii="Arial" w:hAnsi="Arial" w:cs="Arial"/>
          <w:sz w:val="20"/>
          <w:szCs w:val="20"/>
        </w:rPr>
        <w:t>Pripravila:</w:t>
      </w:r>
      <w:r w:rsidR="00FF7DA2">
        <w:rPr>
          <w:rFonts w:ascii="Arial" w:hAnsi="Arial" w:cs="Arial"/>
          <w:sz w:val="20"/>
          <w:szCs w:val="20"/>
        </w:rPr>
        <w:t xml:space="preserve"> </w:t>
      </w:r>
      <w:r w:rsidRPr="00371FF6">
        <w:rPr>
          <w:rFonts w:ascii="Arial" w:hAnsi="Arial" w:cs="Arial"/>
          <w:sz w:val="20"/>
          <w:szCs w:val="20"/>
        </w:rPr>
        <w:t>Darja Kocbek</w:t>
      </w:r>
    </w:p>
    <w:p w:rsidR="007376A2" w:rsidRDefault="007376A2" w:rsidP="007376A2">
      <w:pPr>
        <w:pStyle w:val="Navadensplet"/>
      </w:pPr>
      <w:r>
        <w:lastRenderedPageBreak/>
        <w:t xml:space="preserve"> </w:t>
      </w:r>
    </w:p>
    <w:p w:rsidR="007376A2" w:rsidRPr="007376A2" w:rsidRDefault="007376A2" w:rsidP="007376A2"/>
    <w:p w:rsidR="00B459D4" w:rsidRPr="007376A2" w:rsidRDefault="00B459D4" w:rsidP="007376A2"/>
    <w:sectPr w:rsidR="00B459D4" w:rsidRPr="007376A2"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3549E"/>
    <w:multiLevelType w:val="hybridMultilevel"/>
    <w:tmpl w:val="E1AE6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16C73C0"/>
    <w:multiLevelType w:val="multilevel"/>
    <w:tmpl w:val="AC2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76A2"/>
    <w:rsid w:val="000B5539"/>
    <w:rsid w:val="00193834"/>
    <w:rsid w:val="00371FF6"/>
    <w:rsid w:val="007376A2"/>
    <w:rsid w:val="00B459D4"/>
    <w:rsid w:val="00E6765B"/>
    <w:rsid w:val="00FF7DA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7376A2"/>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371F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76A2"/>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7376A2"/>
    <w:rPr>
      <w:color w:val="0000FF"/>
      <w:u w:val="single"/>
    </w:rPr>
  </w:style>
  <w:style w:type="paragraph" w:styleId="Navadensplet">
    <w:name w:val="Normal (Web)"/>
    <w:basedOn w:val="Navaden"/>
    <w:uiPriority w:val="99"/>
    <w:semiHidden/>
    <w:unhideWhenUsed/>
    <w:rsid w:val="007376A2"/>
    <w:pPr>
      <w:spacing w:before="100" w:beforeAutospacing="1"/>
      <w:jc w:val="left"/>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71FF6"/>
    <w:pPr>
      <w:ind w:left="720"/>
      <w:contextualSpacing/>
    </w:pPr>
  </w:style>
  <w:style w:type="character" w:customStyle="1" w:styleId="Naslov2Znak">
    <w:name w:val="Naslov 2 Znak"/>
    <w:basedOn w:val="Privzetapisavaodstavka"/>
    <w:link w:val="Naslov2"/>
    <w:uiPriority w:val="9"/>
    <w:rsid w:val="00371FF6"/>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371FF6"/>
    <w:pPr>
      <w:spacing w:after="0"/>
    </w:pPr>
  </w:style>
  <w:style w:type="paragraph" w:styleId="Besedilooblaka">
    <w:name w:val="Balloon Text"/>
    <w:basedOn w:val="Navaden"/>
    <w:link w:val="BesedilooblakaZnak"/>
    <w:uiPriority w:val="99"/>
    <w:semiHidden/>
    <w:unhideWhenUsed/>
    <w:rsid w:val="00371FF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1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168159">
      <w:bodyDiv w:val="1"/>
      <w:marLeft w:val="0"/>
      <w:marRight w:val="0"/>
      <w:marTop w:val="0"/>
      <w:marBottom w:val="0"/>
      <w:divBdr>
        <w:top w:val="none" w:sz="0" w:space="0" w:color="auto"/>
        <w:left w:val="none" w:sz="0" w:space="0" w:color="auto"/>
        <w:bottom w:val="none" w:sz="0" w:space="0" w:color="auto"/>
        <w:right w:val="none" w:sz="0" w:space="0" w:color="auto"/>
      </w:divBdr>
    </w:div>
    <w:div w:id="1102577837">
      <w:bodyDiv w:val="1"/>
      <w:marLeft w:val="0"/>
      <w:marRight w:val="0"/>
      <w:marTop w:val="0"/>
      <w:marBottom w:val="0"/>
      <w:divBdr>
        <w:top w:val="none" w:sz="0" w:space="0" w:color="auto"/>
        <w:left w:val="none" w:sz="0" w:space="0" w:color="auto"/>
        <w:bottom w:val="none" w:sz="0" w:space="0" w:color="auto"/>
        <w:right w:val="none" w:sz="0" w:space="0" w:color="auto"/>
      </w:divBdr>
    </w:div>
    <w:div w:id="20697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iah.ei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ah.eib.org/about/initiative-urbis.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2017-11-28T15:47:00Z</dcterms:created>
  <dcterms:modified xsi:type="dcterms:W3CDTF">2017-11-28T16:01:00Z</dcterms:modified>
</cp:coreProperties>
</file>