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2F" w:rsidRPr="00467345" w:rsidRDefault="0084452F" w:rsidP="0084452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4452F" w:rsidRPr="00083714" w:rsidRDefault="0084452F" w:rsidP="0084452F">
      <w:pPr>
        <w:pStyle w:val="Naslov2"/>
        <w:tabs>
          <w:tab w:val="left" w:pos="3120"/>
        </w:tabs>
        <w:spacing w:before="240"/>
        <w:jc w:val="center"/>
        <w:rPr>
          <w:b w:val="0"/>
          <w:bCs w:val="0"/>
          <w:i/>
          <w:iCs/>
          <w:sz w:val="22"/>
        </w:rPr>
      </w:pPr>
      <w:r w:rsidRPr="00083714">
        <w:rPr>
          <w:sz w:val="22"/>
        </w:rPr>
        <w:t>Slovensko gospodarsko in raziskovalno združenje, Bruselj</w:t>
      </w:r>
    </w:p>
    <w:p w:rsidR="0084452F" w:rsidRPr="00083714" w:rsidRDefault="0084452F" w:rsidP="0084452F">
      <w:pPr>
        <w:pBdr>
          <w:bottom w:val="single" w:sz="6" w:space="1" w:color="auto"/>
        </w:pBdr>
        <w:tabs>
          <w:tab w:val="left" w:pos="3120"/>
        </w:tabs>
        <w:spacing w:before="240"/>
        <w:jc w:val="center"/>
        <w:rPr>
          <w:sz w:val="16"/>
          <w:szCs w:val="16"/>
        </w:rPr>
      </w:pPr>
    </w:p>
    <w:p w:rsidR="0084452F" w:rsidRDefault="0084452F" w:rsidP="0084452F">
      <w:pPr>
        <w:tabs>
          <w:tab w:val="left" w:pos="3120"/>
        </w:tabs>
        <w:spacing w:before="240"/>
        <w:rPr>
          <w:b/>
        </w:rPr>
      </w:pPr>
      <w:r w:rsidRPr="00083714">
        <w:rPr>
          <w:b/>
        </w:rPr>
        <w:tab/>
      </w:r>
      <w:r>
        <w:rPr>
          <w:b/>
        </w:rPr>
        <w:t xml:space="preserve">Občasna informacija članom 179 </w:t>
      </w:r>
      <w:r w:rsidRPr="00083714">
        <w:rPr>
          <w:b/>
        </w:rPr>
        <w:t>– 20</w:t>
      </w:r>
      <w:r>
        <w:rPr>
          <w:b/>
        </w:rPr>
        <w:t>21</w:t>
      </w:r>
    </w:p>
    <w:p w:rsidR="0084452F" w:rsidRPr="0084452F" w:rsidRDefault="00915B7A" w:rsidP="0084452F">
      <w:pPr>
        <w:tabs>
          <w:tab w:val="left" w:pos="3120"/>
        </w:tabs>
        <w:spacing w:before="240"/>
        <w:jc w:val="center"/>
        <w:rPr>
          <w:b/>
        </w:rPr>
      </w:pPr>
      <w:r>
        <w:rPr>
          <w:b/>
        </w:rPr>
        <w:t>29</w:t>
      </w:r>
      <w:r w:rsidR="0084452F">
        <w:rPr>
          <w:b/>
        </w:rPr>
        <w:t xml:space="preserve">. november </w:t>
      </w:r>
      <w:r w:rsidR="0084452F" w:rsidRPr="00083714">
        <w:rPr>
          <w:b/>
        </w:rPr>
        <w:t xml:space="preserve"> 20</w:t>
      </w:r>
      <w:r w:rsidR="0084452F">
        <w:rPr>
          <w:b/>
        </w:rPr>
        <w:t>21</w:t>
      </w:r>
    </w:p>
    <w:p w:rsidR="0084452F" w:rsidRDefault="00915B7A" w:rsidP="00915B7A">
      <w:pPr>
        <w:jc w:val="center"/>
        <w:rPr>
          <w:rFonts w:ascii="Arial" w:hAnsi="Arial" w:cs="Arial"/>
          <w:b/>
          <w:i/>
        </w:rPr>
      </w:pPr>
      <w:r>
        <w:rPr>
          <w:b/>
          <w:color w:val="993300"/>
          <w:sz w:val="32"/>
          <w:szCs w:val="32"/>
        </w:rPr>
        <w:t>Sprejeta je uredba o vzpostavitvi evropskih partnerstev oziroma skupnih podjetij</w:t>
      </w:r>
    </w:p>
    <w:p w:rsidR="00E61DAC" w:rsidRPr="007C4C76" w:rsidRDefault="00E61DAC" w:rsidP="007C4C76">
      <w:pPr>
        <w:jc w:val="both"/>
        <w:rPr>
          <w:rFonts w:ascii="Arial" w:hAnsi="Arial" w:cs="Arial"/>
          <w:b/>
          <w:i/>
        </w:rPr>
      </w:pPr>
      <w:r w:rsidRPr="007C4C76">
        <w:rPr>
          <w:rFonts w:ascii="Arial" w:hAnsi="Arial" w:cs="Arial"/>
          <w:b/>
          <w:i/>
        </w:rPr>
        <w:t>Članice EU so v okviru Sveta EU sprejele uredbo, ki omogoča vzpostavitev devetih novih evropskih partnerstev oziroma skupnih podjetij med Evropsko unijo, državami članicami in/ali industrijo. Cilj partnerstev je v Evropi zagotoviti inovativne rešitve za globalne zdravstvene, tehnološke in podnebne izzive. Svet EU je sprejel tudi odločitev o vključitvi Evropske unije v deseto partnerstvo, in sicer evropsko partnerstvo na področju meroslovja. Njegov namen je povečati naložbe v meroslovne raziskave in ustrezne inovativne proizvode. Člani lahko dobijo več informacij na SBRA.</w:t>
      </w:r>
    </w:p>
    <w:p w:rsidR="00E61DAC" w:rsidRPr="007C4C76" w:rsidRDefault="00E61DAC" w:rsidP="007C4C76">
      <w:pPr>
        <w:jc w:val="both"/>
        <w:rPr>
          <w:rFonts w:ascii="Arial" w:hAnsi="Arial" w:cs="Arial"/>
          <w:b/>
          <w:sz w:val="20"/>
          <w:szCs w:val="20"/>
        </w:rPr>
      </w:pPr>
      <w:r w:rsidRPr="007C4C76">
        <w:rPr>
          <w:rFonts w:ascii="Arial" w:hAnsi="Arial" w:cs="Arial"/>
          <w:b/>
          <w:sz w:val="20"/>
          <w:szCs w:val="20"/>
        </w:rPr>
        <w:t>Tabela 1: Pregled evropskih partnerstev</w:t>
      </w:r>
    </w:p>
    <w:tbl>
      <w:tblPr>
        <w:tblStyle w:val="Tabela-mrea"/>
        <w:tblW w:w="0" w:type="auto"/>
        <w:tblLook w:val="04A0"/>
      </w:tblPr>
      <w:tblGrid>
        <w:gridCol w:w="4606"/>
        <w:gridCol w:w="4606"/>
      </w:tblGrid>
      <w:tr w:rsidR="00E61DAC" w:rsidRPr="007C4C76" w:rsidTr="00E61DAC">
        <w:tc>
          <w:tcPr>
            <w:tcW w:w="4606" w:type="dxa"/>
          </w:tcPr>
          <w:p w:rsidR="00E61DAC" w:rsidRPr="007C4C76" w:rsidRDefault="00E61DAC" w:rsidP="007C4C76">
            <w:pPr>
              <w:jc w:val="both"/>
              <w:rPr>
                <w:rFonts w:ascii="Arial" w:hAnsi="Arial" w:cs="Arial"/>
                <w:b/>
                <w:sz w:val="20"/>
                <w:szCs w:val="20"/>
              </w:rPr>
            </w:pPr>
            <w:r w:rsidRPr="007C4C76">
              <w:rPr>
                <w:rFonts w:ascii="Arial" w:hAnsi="Arial" w:cs="Arial"/>
                <w:b/>
                <w:sz w:val="20"/>
                <w:szCs w:val="20"/>
              </w:rPr>
              <w:t>Partnerstvo</w:t>
            </w:r>
          </w:p>
        </w:tc>
        <w:tc>
          <w:tcPr>
            <w:tcW w:w="4606" w:type="dxa"/>
          </w:tcPr>
          <w:p w:rsidR="00E61DAC" w:rsidRPr="007C4C76" w:rsidRDefault="00E61DAC" w:rsidP="007C4C76">
            <w:pPr>
              <w:jc w:val="both"/>
              <w:rPr>
                <w:rFonts w:ascii="Arial" w:hAnsi="Arial" w:cs="Arial"/>
                <w:b/>
                <w:sz w:val="20"/>
                <w:szCs w:val="20"/>
              </w:rPr>
            </w:pPr>
            <w:r w:rsidRPr="007C4C76">
              <w:rPr>
                <w:rFonts w:ascii="Arial" w:hAnsi="Arial" w:cs="Arial"/>
                <w:b/>
                <w:sz w:val="20"/>
                <w:szCs w:val="20"/>
              </w:rPr>
              <w:t>Cilj</w:t>
            </w:r>
            <w:r w:rsidR="005D2F3D" w:rsidRPr="007C4C76">
              <w:rPr>
                <w:rFonts w:ascii="Arial" w:hAnsi="Arial" w:cs="Arial"/>
                <w:b/>
                <w:sz w:val="20"/>
                <w:szCs w:val="20"/>
              </w:rPr>
              <w:t xml:space="preserve"> partnerstva</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Globalno zdravje</w:t>
            </w:r>
            <w:r w:rsidR="00E61DAC" w:rsidRPr="007C4C76">
              <w:rPr>
                <w:rFonts w:ascii="Arial" w:hAnsi="Arial" w:cs="Arial"/>
                <w:sz w:val="20"/>
                <w:szCs w:val="20"/>
              </w:rPr>
              <w:t xml:space="preserve"> EDCTP3</w:t>
            </w:r>
          </w:p>
        </w:tc>
        <w:tc>
          <w:tcPr>
            <w:tcW w:w="4606" w:type="dxa"/>
          </w:tcPr>
          <w:p w:rsidR="00E61DAC" w:rsidRPr="007C4C76" w:rsidRDefault="00E61DAC" w:rsidP="007C4C76">
            <w:pPr>
              <w:jc w:val="both"/>
              <w:rPr>
                <w:rFonts w:ascii="Arial" w:hAnsi="Arial" w:cs="Arial"/>
                <w:sz w:val="20"/>
                <w:szCs w:val="20"/>
              </w:rPr>
            </w:pPr>
            <w:r w:rsidRPr="007C4C76">
              <w:rPr>
                <w:rFonts w:ascii="Arial" w:hAnsi="Arial" w:cs="Arial"/>
                <w:sz w:val="20"/>
                <w:szCs w:val="20"/>
              </w:rPr>
              <w:t>Zagotoviti nove rešitve za zmanjšanje nalezljivih bolezni v podsaharski Afriki ter okrepiti raziskovalne zmogljivosti za pripravo in odzivanje na pojavljanje nalezljivih bolezni v tej regiji in po svetu</w:t>
            </w:r>
          </w:p>
        </w:tc>
      </w:tr>
      <w:tr w:rsidR="00E61DAC" w:rsidRPr="007C4C76" w:rsidTr="00E61DAC">
        <w:tc>
          <w:tcPr>
            <w:tcW w:w="4606" w:type="dxa"/>
          </w:tcPr>
          <w:p w:rsidR="00E61DAC" w:rsidRPr="007C4C76" w:rsidRDefault="00E61DAC" w:rsidP="007C4C76">
            <w:pPr>
              <w:jc w:val="both"/>
              <w:rPr>
                <w:rFonts w:ascii="Arial" w:hAnsi="Arial" w:cs="Arial"/>
                <w:sz w:val="20"/>
                <w:szCs w:val="20"/>
              </w:rPr>
            </w:pPr>
            <w:r w:rsidRPr="007C4C76">
              <w:rPr>
                <w:rFonts w:ascii="Arial" w:hAnsi="Arial" w:cs="Arial"/>
                <w:sz w:val="20"/>
                <w:szCs w:val="20"/>
              </w:rPr>
              <w:t>Inovativna zdravstvena pobuda</w:t>
            </w:r>
          </w:p>
        </w:tc>
        <w:tc>
          <w:tcPr>
            <w:tcW w:w="4606" w:type="dxa"/>
          </w:tcPr>
          <w:p w:rsidR="00E61DAC" w:rsidRPr="007C4C76" w:rsidRDefault="00E61DAC" w:rsidP="007C4C76">
            <w:pPr>
              <w:jc w:val="both"/>
              <w:rPr>
                <w:rFonts w:ascii="Arial" w:hAnsi="Arial" w:cs="Arial"/>
                <w:sz w:val="20"/>
                <w:szCs w:val="20"/>
              </w:rPr>
            </w:pPr>
            <w:r w:rsidRPr="007C4C76">
              <w:rPr>
                <w:rFonts w:ascii="Arial" w:hAnsi="Arial" w:cs="Arial"/>
                <w:sz w:val="20"/>
                <w:szCs w:val="20"/>
              </w:rPr>
              <w:t>Pomagati ustvariti ekosistem zdravstvenih raziskav in inovacij po vsej EU, ki bo olajšal prenos znanstvenega znanja v oprijemljive inovacije.</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Ključne digitalne tehnologije</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Podpreti digitalno preobrazbo vseh gospodarskih in družbenih sektorjev ter evropski zeleni dogovor, pa tudi podpirati raziskave in inovacije za naslednjo generacijo mikroprocesorjev.</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Partnerstvo s področja bioloških surovin</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Razviti in razširiti trajnostno pridobivanje in pretvorbo biomase v proizvode na biološki osnovi ter podpirati inovacije na biološki osnovi na regionalni ravni z aktivno udeležbo lokalnih akterjev z namenom oživitve podeželskih, obalnih in obrobnih regij.</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Čisti vodik</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 xml:space="preserve">Pospešiti razvoj in uporabo evropske vrednostne verige za čiste vodikove tehnologije, ki bo prispevala k trajnostnim, </w:t>
            </w:r>
            <w:proofErr w:type="spellStart"/>
            <w:r w:rsidRPr="007C4C76">
              <w:rPr>
                <w:rFonts w:ascii="Arial" w:hAnsi="Arial" w:cs="Arial"/>
                <w:sz w:val="20"/>
                <w:szCs w:val="20"/>
              </w:rPr>
              <w:t>brezogljičnim</w:t>
            </w:r>
            <w:proofErr w:type="spellEnd"/>
            <w:r w:rsidRPr="007C4C76">
              <w:rPr>
                <w:rFonts w:ascii="Arial" w:hAnsi="Arial" w:cs="Arial"/>
                <w:sz w:val="20"/>
                <w:szCs w:val="20"/>
              </w:rPr>
              <w:t xml:space="preserve"> in popolnoma integriranim energetskim sistemom.</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Čisto letalstvo</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 xml:space="preserve">S pospeševanjem razvoja in uporabe </w:t>
            </w:r>
            <w:r w:rsidRPr="007C4C76">
              <w:rPr>
                <w:rFonts w:ascii="Arial" w:hAnsi="Arial" w:cs="Arial"/>
                <w:sz w:val="20"/>
                <w:szCs w:val="20"/>
              </w:rPr>
              <w:lastRenderedPageBreak/>
              <w:t>revolucionarnih rešitev na področju raziskav in inovacij omogočiti letalstvu, da postane podnebno nevtralno.</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lastRenderedPageBreak/>
              <w:t>Evropska železnica</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 xml:space="preserve">Pospešiti razvoj in uvajanje inovativnih tehnologij, zlasti digitalnih in </w:t>
            </w:r>
            <w:proofErr w:type="spellStart"/>
            <w:r w:rsidRPr="007C4C76">
              <w:rPr>
                <w:rFonts w:ascii="Arial" w:hAnsi="Arial" w:cs="Arial"/>
                <w:sz w:val="20"/>
                <w:szCs w:val="20"/>
              </w:rPr>
              <w:t>avtomatizacijskih</w:t>
            </w:r>
            <w:proofErr w:type="spellEnd"/>
            <w:r w:rsidRPr="007C4C76">
              <w:rPr>
                <w:rFonts w:ascii="Arial" w:hAnsi="Arial" w:cs="Arial"/>
                <w:sz w:val="20"/>
                <w:szCs w:val="20"/>
              </w:rPr>
              <w:t>, da bi dosegli korenito preobrazbo železniškega sistema in uresničili cilje evropskega zelenega dogovora.</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Raziskava ATM enotnega evropskega neba 3</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 xml:space="preserve">Pospešiti digitalno preobrazbo upravljanja zračnega prometa, da bi evropski zračni prostor postal najučinkovitejše, najvarnejše in okolju najprijaznejše nebo za letenje na svetu, hkrati pa podpirati konkurenčnost in okrevanje letalskega sektorja po krizi zaradi </w:t>
            </w:r>
            <w:proofErr w:type="spellStart"/>
            <w:r w:rsidRPr="007C4C76">
              <w:rPr>
                <w:rFonts w:ascii="Arial" w:hAnsi="Arial" w:cs="Arial"/>
                <w:sz w:val="20"/>
                <w:szCs w:val="20"/>
              </w:rPr>
              <w:t>koronavirusa</w:t>
            </w:r>
            <w:proofErr w:type="spellEnd"/>
            <w:r w:rsidRPr="007C4C76">
              <w:rPr>
                <w:rFonts w:ascii="Arial" w:hAnsi="Arial" w:cs="Arial"/>
                <w:sz w:val="20"/>
                <w:szCs w:val="20"/>
              </w:rPr>
              <w:t>.</w:t>
            </w:r>
          </w:p>
        </w:tc>
      </w:tr>
      <w:tr w:rsidR="00E61DAC" w:rsidRPr="007C4C76" w:rsidTr="00E61DA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br/>
              <w:t>Pametna omrežja in storitve</w:t>
            </w:r>
          </w:p>
        </w:tc>
        <w:tc>
          <w:tcPr>
            <w:tcW w:w="4606" w:type="dxa"/>
          </w:tcPr>
          <w:p w:rsidR="00E61DAC" w:rsidRPr="007C4C76" w:rsidRDefault="005D2F3D" w:rsidP="007C4C76">
            <w:pPr>
              <w:jc w:val="both"/>
              <w:rPr>
                <w:rFonts w:ascii="Arial" w:hAnsi="Arial" w:cs="Arial"/>
                <w:sz w:val="20"/>
                <w:szCs w:val="20"/>
              </w:rPr>
            </w:pPr>
            <w:r w:rsidRPr="007C4C76">
              <w:rPr>
                <w:rFonts w:ascii="Arial" w:hAnsi="Arial" w:cs="Arial"/>
                <w:sz w:val="20"/>
                <w:szCs w:val="20"/>
              </w:rPr>
              <w:t>Podpreti tehnološko suverenost za pametna omrežja in storitve v skladu z industrijsko strategijo za Evropo, strategijo EU za kibernetsko varnost in zbirko orodij za kibernetsko varnost 5G.</w:t>
            </w:r>
          </w:p>
        </w:tc>
      </w:tr>
      <w:tr w:rsidR="00E61DAC" w:rsidRPr="007C4C76" w:rsidTr="00E61DAC">
        <w:tc>
          <w:tcPr>
            <w:tcW w:w="4606" w:type="dxa"/>
          </w:tcPr>
          <w:p w:rsidR="00E61DAC" w:rsidRPr="007C4C76" w:rsidRDefault="00FE67D1" w:rsidP="007C4C76">
            <w:pPr>
              <w:jc w:val="both"/>
              <w:rPr>
                <w:rFonts w:ascii="Arial" w:hAnsi="Arial" w:cs="Arial"/>
                <w:sz w:val="20"/>
                <w:szCs w:val="20"/>
              </w:rPr>
            </w:pPr>
            <w:r w:rsidRPr="007C4C76">
              <w:rPr>
                <w:rFonts w:ascii="Arial" w:hAnsi="Arial" w:cs="Arial"/>
                <w:sz w:val="20"/>
                <w:szCs w:val="20"/>
              </w:rPr>
              <w:t>Meroslovje</w:t>
            </w:r>
          </w:p>
        </w:tc>
        <w:tc>
          <w:tcPr>
            <w:tcW w:w="4606" w:type="dxa"/>
          </w:tcPr>
          <w:p w:rsidR="00E61DAC" w:rsidRPr="007C4C76" w:rsidRDefault="00FE67D1" w:rsidP="007C4C76">
            <w:pPr>
              <w:jc w:val="both"/>
              <w:rPr>
                <w:rFonts w:ascii="Arial" w:hAnsi="Arial" w:cs="Arial"/>
                <w:sz w:val="20"/>
                <w:szCs w:val="20"/>
              </w:rPr>
            </w:pPr>
            <w:r w:rsidRPr="007C4C76">
              <w:rPr>
                <w:rFonts w:ascii="Arial" w:hAnsi="Arial" w:cs="Arial"/>
                <w:sz w:val="20"/>
                <w:szCs w:val="20"/>
              </w:rPr>
              <w:t>Vzpostaviti samozadostna evropska meroslovna omrežja, ki bodo podpirala nove inovativne izdelke, se odzivala na družbene izzive, kot so zdravje, okolje in podnebje, ter omogočala učinkovito oblikovanje in izvajanje potrebnih predpisov in standardov.</w:t>
            </w:r>
          </w:p>
        </w:tc>
      </w:tr>
    </w:tbl>
    <w:p w:rsidR="00E61DAC" w:rsidRPr="007C4C76" w:rsidRDefault="00FE67D1" w:rsidP="007C4C76">
      <w:pPr>
        <w:jc w:val="both"/>
        <w:rPr>
          <w:rFonts w:ascii="Arial" w:hAnsi="Arial" w:cs="Arial"/>
          <w:sz w:val="20"/>
          <w:szCs w:val="20"/>
        </w:rPr>
      </w:pPr>
      <w:r w:rsidRPr="007C4C76">
        <w:rPr>
          <w:rFonts w:ascii="Arial" w:hAnsi="Arial" w:cs="Arial"/>
          <w:sz w:val="20"/>
          <w:szCs w:val="20"/>
        </w:rPr>
        <w:t>Vir: Evropska komisija</w:t>
      </w:r>
    </w:p>
    <w:p w:rsidR="00C93E1C" w:rsidRPr="007C4C76" w:rsidRDefault="00E61DAC" w:rsidP="007C4C76">
      <w:pPr>
        <w:jc w:val="both"/>
        <w:rPr>
          <w:rFonts w:ascii="Arial" w:hAnsi="Arial" w:cs="Arial"/>
          <w:sz w:val="20"/>
          <w:szCs w:val="20"/>
        </w:rPr>
      </w:pPr>
      <w:r w:rsidRPr="007C4C76">
        <w:rPr>
          <w:rFonts w:ascii="Arial" w:hAnsi="Arial" w:cs="Arial"/>
          <w:sz w:val="20"/>
          <w:szCs w:val="20"/>
        </w:rPr>
        <w:t>V programu Obzorje Evropa je za nova evropska partnerstva na voljo nekaj manj kot 10 milijard evrov.</w:t>
      </w:r>
    </w:p>
    <w:p w:rsidR="00E61DAC" w:rsidRPr="007C4C76" w:rsidRDefault="007C4C76" w:rsidP="007C4C76">
      <w:pPr>
        <w:jc w:val="both"/>
        <w:rPr>
          <w:rFonts w:ascii="Arial" w:hAnsi="Arial" w:cs="Arial"/>
          <w:b/>
          <w:sz w:val="20"/>
          <w:szCs w:val="20"/>
        </w:rPr>
      </w:pPr>
      <w:r w:rsidRPr="007C4C76">
        <w:rPr>
          <w:rFonts w:ascii="Arial" w:hAnsi="Arial" w:cs="Arial"/>
          <w:b/>
          <w:sz w:val="20"/>
          <w:szCs w:val="20"/>
        </w:rPr>
        <w:t>Koristne informacije:</w:t>
      </w:r>
    </w:p>
    <w:p w:rsidR="007C4C76" w:rsidRPr="007C4C76" w:rsidRDefault="007C4C76" w:rsidP="007C4C76">
      <w:pPr>
        <w:pStyle w:val="Odstavekseznama"/>
        <w:numPr>
          <w:ilvl w:val="0"/>
          <w:numId w:val="1"/>
        </w:numPr>
        <w:jc w:val="both"/>
        <w:rPr>
          <w:rFonts w:ascii="Arial" w:hAnsi="Arial" w:cs="Arial"/>
          <w:sz w:val="20"/>
          <w:szCs w:val="20"/>
        </w:rPr>
      </w:pPr>
      <w:r w:rsidRPr="007C4C76">
        <w:rPr>
          <w:rFonts w:ascii="Arial" w:hAnsi="Arial" w:cs="Arial"/>
          <w:sz w:val="20"/>
          <w:szCs w:val="20"/>
        </w:rPr>
        <w:t>Uredba o ustanovitvi skupnih podjetij v okviru programa Obzorje Evropa:</w:t>
      </w:r>
    </w:p>
    <w:p w:rsidR="007C4C76" w:rsidRPr="007C4C76" w:rsidRDefault="007C4C76" w:rsidP="007C4C76">
      <w:pPr>
        <w:pStyle w:val="Odstavekseznama"/>
        <w:numPr>
          <w:ilvl w:val="0"/>
          <w:numId w:val="1"/>
        </w:numPr>
        <w:jc w:val="both"/>
        <w:rPr>
          <w:rFonts w:ascii="Arial" w:hAnsi="Arial" w:cs="Arial"/>
          <w:sz w:val="20"/>
          <w:szCs w:val="20"/>
        </w:rPr>
      </w:pPr>
      <w:hyperlink r:id="rId6" w:history="1">
        <w:r w:rsidRPr="007C4C76">
          <w:rPr>
            <w:rStyle w:val="Hiperpovezava"/>
            <w:rFonts w:ascii="Arial" w:hAnsi="Arial" w:cs="Arial"/>
            <w:sz w:val="20"/>
            <w:szCs w:val="20"/>
          </w:rPr>
          <w:t>https://data.consilium.europa.eu/doc/document/ST-12156-2021-INIT/sl/pdf</w:t>
        </w:r>
      </w:hyperlink>
      <w:r w:rsidRPr="007C4C76">
        <w:rPr>
          <w:rFonts w:ascii="Arial" w:hAnsi="Arial" w:cs="Arial"/>
          <w:sz w:val="20"/>
          <w:szCs w:val="20"/>
        </w:rPr>
        <w:t xml:space="preserve"> </w:t>
      </w:r>
    </w:p>
    <w:p w:rsidR="007C4C76" w:rsidRPr="007C4C76" w:rsidRDefault="007C4C76" w:rsidP="007C4C76">
      <w:pPr>
        <w:pStyle w:val="Odstavekseznama"/>
        <w:numPr>
          <w:ilvl w:val="0"/>
          <w:numId w:val="1"/>
        </w:numPr>
        <w:jc w:val="both"/>
        <w:rPr>
          <w:rFonts w:ascii="Arial" w:hAnsi="Arial" w:cs="Arial"/>
          <w:sz w:val="20"/>
          <w:szCs w:val="20"/>
        </w:rPr>
      </w:pPr>
      <w:r w:rsidRPr="007C4C76">
        <w:rPr>
          <w:rFonts w:ascii="Arial" w:hAnsi="Arial" w:cs="Arial"/>
          <w:sz w:val="20"/>
          <w:szCs w:val="20"/>
        </w:rPr>
        <w:t>Sklep o sodelovanju Unije v evropskem partnerstvu za meroslovje:</w:t>
      </w:r>
    </w:p>
    <w:p w:rsidR="007C4C76" w:rsidRPr="007C4C76" w:rsidRDefault="007C4C76" w:rsidP="007C4C76">
      <w:pPr>
        <w:pStyle w:val="Odstavekseznama"/>
        <w:numPr>
          <w:ilvl w:val="0"/>
          <w:numId w:val="1"/>
        </w:numPr>
        <w:jc w:val="both"/>
        <w:rPr>
          <w:rFonts w:ascii="Arial" w:hAnsi="Arial" w:cs="Arial"/>
          <w:sz w:val="20"/>
          <w:szCs w:val="20"/>
        </w:rPr>
      </w:pPr>
      <w:hyperlink r:id="rId7" w:history="1">
        <w:r w:rsidRPr="007C4C76">
          <w:rPr>
            <w:rStyle w:val="Hiperpovezava"/>
            <w:rFonts w:ascii="Arial" w:hAnsi="Arial" w:cs="Arial"/>
            <w:sz w:val="20"/>
            <w:szCs w:val="20"/>
          </w:rPr>
          <w:t>https://data.consilium.europa.eu/doc/document/PE-69-2021-INIT/sl/pdf</w:t>
        </w:r>
      </w:hyperlink>
      <w:r w:rsidRPr="007C4C76">
        <w:rPr>
          <w:rFonts w:ascii="Arial" w:hAnsi="Arial" w:cs="Arial"/>
          <w:sz w:val="20"/>
          <w:szCs w:val="20"/>
        </w:rPr>
        <w:t xml:space="preserve"> </w:t>
      </w:r>
    </w:p>
    <w:p w:rsidR="007C4C76" w:rsidRPr="007C4C76" w:rsidRDefault="007C4C76" w:rsidP="007C4C76">
      <w:pPr>
        <w:pStyle w:val="Odstavekseznama"/>
        <w:numPr>
          <w:ilvl w:val="0"/>
          <w:numId w:val="1"/>
        </w:numPr>
        <w:jc w:val="both"/>
        <w:rPr>
          <w:rFonts w:ascii="Arial" w:hAnsi="Arial" w:cs="Arial"/>
          <w:sz w:val="20"/>
          <w:szCs w:val="20"/>
        </w:rPr>
      </w:pPr>
      <w:r w:rsidRPr="007C4C76">
        <w:rPr>
          <w:rFonts w:ascii="Arial" w:hAnsi="Arial" w:cs="Arial"/>
          <w:sz w:val="20"/>
          <w:szCs w:val="20"/>
        </w:rPr>
        <w:t>Spletna stran z informacijami o evropskih partnerstvih:</w:t>
      </w:r>
    </w:p>
    <w:p w:rsidR="007C4C76" w:rsidRPr="007C4C76" w:rsidRDefault="007C4C76" w:rsidP="007C4C76">
      <w:pPr>
        <w:pStyle w:val="Odstavekseznama"/>
        <w:numPr>
          <w:ilvl w:val="0"/>
          <w:numId w:val="1"/>
        </w:numPr>
        <w:jc w:val="both"/>
        <w:rPr>
          <w:rFonts w:ascii="Arial" w:hAnsi="Arial" w:cs="Arial"/>
          <w:sz w:val="20"/>
          <w:szCs w:val="20"/>
        </w:rPr>
      </w:pPr>
      <w:hyperlink r:id="rId8" w:history="1">
        <w:r w:rsidRPr="007C4C76">
          <w:rPr>
            <w:rStyle w:val="Hiperpovezava"/>
            <w:rFonts w:ascii="Arial" w:hAnsi="Arial" w:cs="Arial"/>
            <w:sz w:val="20"/>
            <w:szCs w:val="20"/>
          </w:rPr>
          <w:t>https://ec.europa.eu/info/research-and-innovation/funding/funding-opportunities/funding-programmes-and-open-calls/horizon-europe/european-partnerships-horizon-europe_sl</w:t>
        </w:r>
      </w:hyperlink>
    </w:p>
    <w:p w:rsidR="007C4C76" w:rsidRPr="007C4C76" w:rsidRDefault="007C4C76" w:rsidP="007C4C76">
      <w:pPr>
        <w:spacing w:after="0"/>
        <w:jc w:val="both"/>
        <w:rPr>
          <w:rFonts w:ascii="Arial" w:hAnsi="Arial" w:cs="Arial"/>
          <w:sz w:val="20"/>
          <w:szCs w:val="20"/>
        </w:rPr>
      </w:pPr>
      <w:r w:rsidRPr="007C4C76">
        <w:rPr>
          <w:rFonts w:ascii="Arial" w:hAnsi="Arial" w:cs="Arial"/>
          <w:sz w:val="20"/>
          <w:szCs w:val="20"/>
        </w:rPr>
        <w:t>Pripravila:</w:t>
      </w:r>
    </w:p>
    <w:p w:rsidR="007C4C76" w:rsidRPr="007C4C76" w:rsidRDefault="007C4C76" w:rsidP="007C4C76">
      <w:pPr>
        <w:spacing w:after="0"/>
        <w:jc w:val="both"/>
        <w:rPr>
          <w:rFonts w:ascii="Arial" w:hAnsi="Arial" w:cs="Arial"/>
          <w:sz w:val="20"/>
          <w:szCs w:val="20"/>
        </w:rPr>
      </w:pPr>
      <w:r w:rsidRPr="007C4C76">
        <w:rPr>
          <w:rFonts w:ascii="Arial" w:hAnsi="Arial" w:cs="Arial"/>
          <w:sz w:val="20"/>
          <w:szCs w:val="20"/>
        </w:rPr>
        <w:t>Darja Kocbek</w:t>
      </w:r>
    </w:p>
    <w:sectPr w:rsidR="007C4C76" w:rsidRPr="007C4C76" w:rsidSect="00C93E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046B9"/>
    <w:multiLevelType w:val="hybridMultilevel"/>
    <w:tmpl w:val="D3F028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DAC"/>
    <w:rsid w:val="005D2F3D"/>
    <w:rsid w:val="007C4C76"/>
    <w:rsid w:val="0084452F"/>
    <w:rsid w:val="00915B7A"/>
    <w:rsid w:val="00C93E1C"/>
    <w:rsid w:val="00E61DAC"/>
    <w:rsid w:val="00FE67D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93E1C"/>
  </w:style>
  <w:style w:type="paragraph" w:styleId="Naslov2">
    <w:name w:val="heading 2"/>
    <w:basedOn w:val="Navaden"/>
    <w:next w:val="Navaden"/>
    <w:link w:val="Naslov2Znak"/>
    <w:uiPriority w:val="9"/>
    <w:semiHidden/>
    <w:unhideWhenUsed/>
    <w:qFormat/>
    <w:rsid w:val="00844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279756910msonospacing">
    <w:name w:val="yiv4279756910msonospacing"/>
    <w:basedOn w:val="Navaden"/>
    <w:rsid w:val="00E61DA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61DAC"/>
    <w:rPr>
      <w:color w:val="0000FF"/>
      <w:u w:val="single"/>
    </w:rPr>
  </w:style>
  <w:style w:type="table" w:styleId="Tabela-mrea">
    <w:name w:val="Table Grid"/>
    <w:basedOn w:val="Navadnatabela"/>
    <w:uiPriority w:val="59"/>
    <w:rsid w:val="00E61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repko">
    <w:name w:val="Strong"/>
    <w:basedOn w:val="Privzetapisavaodstavka"/>
    <w:uiPriority w:val="22"/>
    <w:qFormat/>
    <w:rsid w:val="00E61DAC"/>
    <w:rPr>
      <w:b/>
      <w:bCs/>
    </w:rPr>
  </w:style>
  <w:style w:type="paragraph" w:styleId="Odstavekseznama">
    <w:name w:val="List Paragraph"/>
    <w:basedOn w:val="Navaden"/>
    <w:uiPriority w:val="34"/>
    <w:qFormat/>
    <w:rsid w:val="007C4C76"/>
    <w:pPr>
      <w:ind w:left="720"/>
      <w:contextualSpacing/>
    </w:pPr>
  </w:style>
  <w:style w:type="character" w:customStyle="1" w:styleId="Naslov2Znak">
    <w:name w:val="Naslov 2 Znak"/>
    <w:basedOn w:val="Privzetapisavaodstavka"/>
    <w:link w:val="Naslov2"/>
    <w:uiPriority w:val="9"/>
    <w:semiHidden/>
    <w:rsid w:val="0084452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4452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44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funding/funding-opportunities/funding-programmes-and-open-calls/horizon-europe/european-partnerships-horizon-europe_sl" TargetMode="External"/><Relationship Id="rId3" Type="http://schemas.openxmlformats.org/officeDocument/2006/relationships/settings" Target="settings.xml"/><Relationship Id="rId7" Type="http://schemas.openxmlformats.org/officeDocument/2006/relationships/hyperlink" Target="https://data.consilium.europa.eu/doc/document/PE-69-2021-INIT/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ST-12156-2021-INIT/sl/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621</Words>
  <Characters>3544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2021-11-23T19:48:00Z</dcterms:created>
  <dcterms:modified xsi:type="dcterms:W3CDTF">2021-11-23T20:22:00Z</dcterms:modified>
</cp:coreProperties>
</file>