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77" w:rsidRPr="00F973D8" w:rsidRDefault="00E71677" w:rsidP="00E71677">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71677" w:rsidRPr="00F973D8" w:rsidRDefault="00E71677" w:rsidP="00E71677">
      <w:pPr>
        <w:pStyle w:val="Naslov2"/>
        <w:tabs>
          <w:tab w:val="left" w:pos="3120"/>
        </w:tabs>
        <w:jc w:val="center"/>
        <w:rPr>
          <w:b w:val="0"/>
          <w:bCs w:val="0"/>
          <w:i/>
          <w:iCs/>
          <w:sz w:val="22"/>
        </w:rPr>
      </w:pPr>
      <w:r w:rsidRPr="00F973D8">
        <w:rPr>
          <w:b w:val="0"/>
          <w:bCs w:val="0"/>
          <w:sz w:val="22"/>
        </w:rPr>
        <w:t>Slovensko gospodarsko in raziskovalno združenje, Bruselj</w:t>
      </w:r>
    </w:p>
    <w:p w:rsidR="00E71677" w:rsidRPr="00F973D8" w:rsidRDefault="00E71677" w:rsidP="00E71677">
      <w:pPr>
        <w:pBdr>
          <w:bottom w:val="single" w:sz="6" w:space="1" w:color="auto"/>
        </w:pBdr>
        <w:tabs>
          <w:tab w:val="left" w:pos="3120"/>
        </w:tabs>
        <w:jc w:val="center"/>
        <w:rPr>
          <w:sz w:val="16"/>
          <w:szCs w:val="16"/>
        </w:rPr>
      </w:pPr>
    </w:p>
    <w:p w:rsidR="00E71677" w:rsidRDefault="00E71677" w:rsidP="00E71677">
      <w:pPr>
        <w:tabs>
          <w:tab w:val="left" w:pos="3120"/>
        </w:tabs>
        <w:jc w:val="center"/>
        <w:rPr>
          <w:rFonts w:ascii="Arial" w:hAnsi="Arial" w:cs="Arial"/>
          <w:b/>
          <w:lang w:val="sl-SI"/>
        </w:rPr>
      </w:pPr>
    </w:p>
    <w:p w:rsidR="00E71677" w:rsidRPr="00E71677" w:rsidRDefault="00E71677" w:rsidP="00E71677">
      <w:pPr>
        <w:tabs>
          <w:tab w:val="left" w:pos="3120"/>
        </w:tabs>
        <w:jc w:val="center"/>
        <w:rPr>
          <w:rFonts w:ascii="Arial" w:hAnsi="Arial" w:cs="Arial"/>
          <w:b/>
          <w:lang w:val="sl-SI"/>
        </w:rPr>
      </w:pPr>
      <w:r w:rsidRPr="00E71677">
        <w:rPr>
          <w:rFonts w:ascii="Arial" w:hAnsi="Arial" w:cs="Arial"/>
          <w:b/>
          <w:lang w:val="sl-SI"/>
        </w:rPr>
        <w:t>Občasna informacija članom 177 – 2017</w:t>
      </w:r>
    </w:p>
    <w:p w:rsidR="00E71677" w:rsidRPr="00E71677" w:rsidRDefault="00E71677" w:rsidP="00E71677">
      <w:pPr>
        <w:pStyle w:val="Brezrazmikov"/>
        <w:jc w:val="center"/>
        <w:rPr>
          <w:rFonts w:ascii="Arial" w:hAnsi="Arial" w:cs="Arial"/>
          <w:b/>
        </w:rPr>
      </w:pPr>
    </w:p>
    <w:p w:rsidR="00E71677" w:rsidRPr="00E71677" w:rsidRDefault="00E71677" w:rsidP="00E71677">
      <w:pPr>
        <w:pStyle w:val="Brezrazmikov"/>
        <w:jc w:val="center"/>
        <w:rPr>
          <w:rFonts w:ascii="Arial" w:hAnsi="Arial" w:cs="Arial"/>
          <w:b/>
        </w:rPr>
      </w:pPr>
      <w:r w:rsidRPr="00E71677">
        <w:rPr>
          <w:rFonts w:ascii="Arial" w:hAnsi="Arial" w:cs="Arial"/>
          <w:b/>
        </w:rPr>
        <w:t>04. december 2017</w:t>
      </w:r>
    </w:p>
    <w:p w:rsidR="00E71677" w:rsidRPr="00E71677" w:rsidRDefault="00E71677" w:rsidP="00E71677">
      <w:pPr>
        <w:jc w:val="center"/>
        <w:rPr>
          <w:rFonts w:ascii="Arial" w:hAnsi="Arial" w:cs="Arial"/>
          <w:b/>
          <w:i/>
          <w:sz w:val="22"/>
          <w:szCs w:val="22"/>
          <w:lang w:val="sl-SI"/>
        </w:rPr>
      </w:pPr>
      <w:r w:rsidRPr="00E71677">
        <w:rPr>
          <w:rFonts w:ascii="Arial" w:hAnsi="Arial" w:cs="Arial"/>
          <w:b/>
          <w:color w:val="993300"/>
          <w:sz w:val="32"/>
          <w:szCs w:val="32"/>
          <w:lang w:val="sl-SI"/>
        </w:rPr>
        <w:t>Tretje poročilo o stanju energetske unije in tretji seznam projektov skupnega pomena</w:t>
      </w:r>
    </w:p>
    <w:p w:rsidR="00E71677" w:rsidRDefault="00E71677" w:rsidP="00011B62">
      <w:pPr>
        <w:jc w:val="both"/>
        <w:rPr>
          <w:rFonts w:ascii="Arial" w:hAnsi="Arial" w:cs="Arial"/>
          <w:b/>
          <w:i/>
          <w:sz w:val="22"/>
          <w:szCs w:val="22"/>
          <w:lang w:val="sl-SI"/>
        </w:rPr>
      </w:pPr>
    </w:p>
    <w:p w:rsidR="006A0AE7" w:rsidRPr="00011B62" w:rsidRDefault="006A0AE7" w:rsidP="00011B62">
      <w:pPr>
        <w:jc w:val="both"/>
        <w:rPr>
          <w:rFonts w:ascii="Arial" w:hAnsi="Arial" w:cs="Arial"/>
          <w:b/>
          <w:i/>
          <w:sz w:val="22"/>
          <w:szCs w:val="22"/>
          <w:lang w:val="sl-SI"/>
        </w:rPr>
      </w:pPr>
      <w:r w:rsidRPr="00011B62">
        <w:rPr>
          <w:rFonts w:ascii="Arial" w:hAnsi="Arial" w:cs="Arial"/>
          <w:b/>
          <w:i/>
          <w:sz w:val="22"/>
          <w:szCs w:val="22"/>
          <w:lang w:val="sl-SI"/>
        </w:rPr>
        <w:t>Evropska komisija je objavila tretje poročilo o stanju energetske unije</w:t>
      </w:r>
      <w:r w:rsidR="00A576EF" w:rsidRPr="00011B62">
        <w:rPr>
          <w:rFonts w:ascii="Arial" w:hAnsi="Arial" w:cs="Arial"/>
          <w:b/>
          <w:i/>
          <w:sz w:val="22"/>
          <w:szCs w:val="22"/>
          <w:lang w:val="sl-SI"/>
        </w:rPr>
        <w:t xml:space="preserve"> s poročili za posamezne države članice </w:t>
      </w:r>
      <w:r w:rsidRPr="00011B62">
        <w:rPr>
          <w:rFonts w:ascii="Arial" w:hAnsi="Arial" w:cs="Arial"/>
          <w:b/>
          <w:i/>
          <w:sz w:val="22"/>
          <w:szCs w:val="22"/>
          <w:lang w:val="sl-SI"/>
        </w:rPr>
        <w:t xml:space="preserve">v katerem potrjuje, da je energetski prehod mogoč samo, če prilagodimo infrastrukturo potrebam prihodnjega energetskega sistema. Energetska, prometna in telekomunikacijska infrastruktura se vse bolj prepletajo. V vsakdanu evropskih državljanov bodo postajala vse pomembnejša lokalna omrežja, saj bodo vse bolj prehajali na </w:t>
      </w:r>
      <w:proofErr w:type="spellStart"/>
      <w:r w:rsidRPr="00011B62">
        <w:rPr>
          <w:rFonts w:ascii="Arial" w:hAnsi="Arial" w:cs="Arial"/>
          <w:b/>
          <w:i/>
          <w:sz w:val="22"/>
          <w:szCs w:val="22"/>
          <w:lang w:val="sl-SI"/>
        </w:rPr>
        <w:t>elektromobilnost</w:t>
      </w:r>
      <w:proofErr w:type="spellEnd"/>
      <w:r w:rsidRPr="00011B62">
        <w:rPr>
          <w:rFonts w:ascii="Arial" w:hAnsi="Arial" w:cs="Arial"/>
          <w:b/>
          <w:i/>
          <w:sz w:val="22"/>
          <w:szCs w:val="22"/>
          <w:lang w:val="sl-SI"/>
        </w:rPr>
        <w:t xml:space="preserve">, decentralizirano proizvodnjo energije in prilagajanje odjema. Veliko je bilo že doseženega, vendar so še vedno ozka grla, zlasti na področju električne energije. </w:t>
      </w:r>
    </w:p>
    <w:p w:rsidR="006A0AE7" w:rsidRPr="00011B62" w:rsidRDefault="006A0AE7" w:rsidP="00011B62">
      <w:pPr>
        <w:jc w:val="both"/>
        <w:rPr>
          <w:rFonts w:ascii="Arial" w:hAnsi="Arial" w:cs="Arial"/>
          <w:sz w:val="20"/>
          <w:szCs w:val="20"/>
          <w:lang w:val="sl-SI"/>
        </w:rPr>
      </w:pPr>
    </w:p>
    <w:p w:rsidR="006A0AE7" w:rsidRPr="00011B62" w:rsidRDefault="006A0AE7" w:rsidP="00011B62">
      <w:pPr>
        <w:jc w:val="both"/>
        <w:rPr>
          <w:rFonts w:ascii="Arial" w:hAnsi="Arial" w:cs="Arial"/>
          <w:sz w:val="20"/>
          <w:szCs w:val="20"/>
          <w:lang w:val="sl-SI"/>
        </w:rPr>
      </w:pPr>
      <w:r w:rsidRPr="00011B62">
        <w:rPr>
          <w:rFonts w:ascii="Arial" w:hAnsi="Arial" w:cs="Arial"/>
          <w:sz w:val="20"/>
          <w:szCs w:val="20"/>
          <w:lang w:val="sl-SI"/>
        </w:rPr>
        <w:t xml:space="preserve">Evropska </w:t>
      </w:r>
      <w:r w:rsidR="00011B62">
        <w:rPr>
          <w:rFonts w:ascii="Arial" w:hAnsi="Arial" w:cs="Arial"/>
          <w:sz w:val="20"/>
          <w:szCs w:val="20"/>
          <w:lang w:val="sl-SI"/>
        </w:rPr>
        <w:t xml:space="preserve">komisija </w:t>
      </w:r>
      <w:r w:rsidRPr="00011B62">
        <w:rPr>
          <w:rFonts w:ascii="Arial" w:hAnsi="Arial" w:cs="Arial"/>
          <w:sz w:val="20"/>
          <w:szCs w:val="20"/>
          <w:lang w:val="sl-SI"/>
        </w:rPr>
        <w:t xml:space="preserve">je zaradi tega skupaj s poročilom </w:t>
      </w:r>
      <w:r w:rsidR="00011B62">
        <w:rPr>
          <w:rFonts w:ascii="Arial" w:hAnsi="Arial" w:cs="Arial"/>
          <w:sz w:val="20"/>
          <w:szCs w:val="20"/>
          <w:lang w:val="sl-SI"/>
        </w:rPr>
        <w:t xml:space="preserve">o stanju v energetski uniji </w:t>
      </w:r>
      <w:r w:rsidRPr="00011B62">
        <w:rPr>
          <w:rFonts w:ascii="Arial" w:hAnsi="Arial" w:cs="Arial"/>
          <w:sz w:val="20"/>
          <w:szCs w:val="20"/>
          <w:lang w:val="sl-SI"/>
        </w:rPr>
        <w:t xml:space="preserve">sprejela </w:t>
      </w:r>
      <w:r w:rsidR="00011B62">
        <w:rPr>
          <w:rFonts w:ascii="Arial" w:hAnsi="Arial" w:cs="Arial"/>
          <w:sz w:val="20"/>
          <w:szCs w:val="20"/>
          <w:lang w:val="sl-SI"/>
        </w:rPr>
        <w:t xml:space="preserve">tudi </w:t>
      </w:r>
      <w:r w:rsidRPr="00011B62">
        <w:rPr>
          <w:rFonts w:ascii="Arial" w:hAnsi="Arial" w:cs="Arial"/>
          <w:sz w:val="20"/>
          <w:szCs w:val="20"/>
          <w:lang w:val="sl-SI"/>
        </w:rPr>
        <w:t>sporočilo o cilju 15-odstotne čezmejne elektroenergetske povezanosti do leta 2030 in tretji se</w:t>
      </w:r>
      <w:r w:rsidR="00542D29" w:rsidRPr="00011B62">
        <w:rPr>
          <w:rFonts w:ascii="Arial" w:hAnsi="Arial" w:cs="Arial"/>
          <w:sz w:val="20"/>
          <w:szCs w:val="20"/>
          <w:lang w:val="sl-SI"/>
        </w:rPr>
        <w:t>znam projektov skupnega interesa</w:t>
      </w:r>
      <w:r w:rsidRPr="00011B62">
        <w:rPr>
          <w:rFonts w:ascii="Arial" w:hAnsi="Arial" w:cs="Arial"/>
          <w:sz w:val="20"/>
          <w:szCs w:val="20"/>
          <w:lang w:val="sl-SI"/>
        </w:rPr>
        <w:t>.</w:t>
      </w:r>
    </w:p>
    <w:p w:rsidR="006A0AE7" w:rsidRPr="00011B62" w:rsidRDefault="006A0AE7" w:rsidP="00011B62">
      <w:pPr>
        <w:jc w:val="both"/>
        <w:rPr>
          <w:rFonts w:ascii="Arial" w:hAnsi="Arial" w:cs="Arial"/>
          <w:sz w:val="20"/>
          <w:szCs w:val="20"/>
          <w:lang w:val="sl-SI"/>
        </w:rPr>
      </w:pPr>
    </w:p>
    <w:p w:rsidR="007C0B67" w:rsidRPr="00011B62" w:rsidRDefault="007C0B67" w:rsidP="00011B62">
      <w:pPr>
        <w:jc w:val="both"/>
        <w:rPr>
          <w:rFonts w:ascii="Arial" w:hAnsi="Arial" w:cs="Arial"/>
          <w:b/>
          <w:sz w:val="20"/>
          <w:szCs w:val="20"/>
          <w:lang w:val="sl-SI"/>
        </w:rPr>
      </w:pPr>
      <w:r w:rsidRPr="00011B62">
        <w:rPr>
          <w:rFonts w:ascii="Arial" w:hAnsi="Arial" w:cs="Arial"/>
          <w:b/>
          <w:sz w:val="20"/>
          <w:szCs w:val="20"/>
          <w:lang w:val="sl-SI"/>
        </w:rPr>
        <w:t>Tabela 1: Stopnja čezmejne elektroenergetske povezanosti izbranih držav EU v letu 2017 in 2020 v %</w:t>
      </w:r>
    </w:p>
    <w:p w:rsidR="007C0B67" w:rsidRPr="00011B62" w:rsidRDefault="007C0B67" w:rsidP="00011B62">
      <w:pPr>
        <w:jc w:val="both"/>
        <w:rPr>
          <w:rFonts w:ascii="Arial" w:hAnsi="Arial" w:cs="Arial"/>
          <w:sz w:val="20"/>
          <w:szCs w:val="20"/>
          <w:lang w:val="sl-SI"/>
        </w:rPr>
      </w:pPr>
    </w:p>
    <w:tbl>
      <w:tblPr>
        <w:tblStyle w:val="Tabela-mrea"/>
        <w:tblW w:w="0" w:type="auto"/>
        <w:tblLook w:val="04A0"/>
      </w:tblPr>
      <w:tblGrid>
        <w:gridCol w:w="3070"/>
        <w:gridCol w:w="3071"/>
        <w:gridCol w:w="3071"/>
      </w:tblGrid>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Država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Stopnja čezmejne energetske povezanosti v letu 2017</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Pričakovana stopnja elektroenergetske povezanosti v letu 2020</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Avstrija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15</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32</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Bolgarija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7</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18</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Češka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19</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23</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Nemčija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9</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13</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Francija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9</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12</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Grčija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11</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15</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Hrvaška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52</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102</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Madžarska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58</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98</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Italija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8</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10</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Poljska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4</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8</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Romunija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7</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15</w:t>
            </w:r>
          </w:p>
        </w:tc>
      </w:tr>
      <w:tr w:rsidR="007C0B67" w:rsidRPr="00011B62" w:rsidTr="007C0B67">
        <w:tc>
          <w:tcPr>
            <w:tcW w:w="3070" w:type="dxa"/>
          </w:tcPr>
          <w:p w:rsidR="007C0B67" w:rsidRPr="00011B62" w:rsidRDefault="007C0B67" w:rsidP="00011B62">
            <w:pPr>
              <w:rPr>
                <w:rFonts w:ascii="Arial" w:hAnsi="Arial" w:cs="Arial"/>
                <w:color w:val="FF0000"/>
                <w:sz w:val="20"/>
                <w:szCs w:val="20"/>
                <w:lang w:val="sl-SI"/>
              </w:rPr>
            </w:pPr>
            <w:r w:rsidRPr="00011B62">
              <w:rPr>
                <w:rFonts w:ascii="Arial" w:hAnsi="Arial" w:cs="Arial"/>
                <w:color w:val="FF0000"/>
                <w:sz w:val="20"/>
                <w:szCs w:val="20"/>
                <w:lang w:val="sl-SI"/>
              </w:rPr>
              <w:t>Slovenija</w:t>
            </w:r>
          </w:p>
        </w:tc>
        <w:tc>
          <w:tcPr>
            <w:tcW w:w="3071" w:type="dxa"/>
          </w:tcPr>
          <w:p w:rsidR="007C0B67" w:rsidRPr="00011B62" w:rsidRDefault="007C0B67" w:rsidP="00011B62">
            <w:pPr>
              <w:rPr>
                <w:rFonts w:ascii="Arial" w:hAnsi="Arial" w:cs="Arial"/>
                <w:color w:val="FF0000"/>
                <w:sz w:val="20"/>
                <w:szCs w:val="20"/>
                <w:lang w:val="sl-SI"/>
              </w:rPr>
            </w:pPr>
            <w:r w:rsidRPr="00011B62">
              <w:rPr>
                <w:rFonts w:ascii="Arial" w:hAnsi="Arial" w:cs="Arial"/>
                <w:color w:val="FF0000"/>
                <w:sz w:val="20"/>
                <w:szCs w:val="20"/>
                <w:lang w:val="sl-SI"/>
              </w:rPr>
              <w:t>84</w:t>
            </w:r>
          </w:p>
        </w:tc>
        <w:tc>
          <w:tcPr>
            <w:tcW w:w="3071" w:type="dxa"/>
          </w:tcPr>
          <w:p w:rsidR="007C0B67" w:rsidRPr="00011B62" w:rsidRDefault="007C0B67" w:rsidP="00011B62">
            <w:pPr>
              <w:rPr>
                <w:rFonts w:ascii="Arial" w:hAnsi="Arial" w:cs="Arial"/>
                <w:color w:val="FF0000"/>
                <w:sz w:val="20"/>
                <w:szCs w:val="20"/>
                <w:lang w:val="sl-SI"/>
              </w:rPr>
            </w:pPr>
            <w:r w:rsidRPr="00011B62">
              <w:rPr>
                <w:rFonts w:ascii="Arial" w:hAnsi="Arial" w:cs="Arial"/>
                <w:color w:val="FF0000"/>
                <w:sz w:val="20"/>
                <w:szCs w:val="20"/>
                <w:lang w:val="sl-SI"/>
              </w:rPr>
              <w:t>132</w:t>
            </w:r>
          </w:p>
        </w:tc>
      </w:tr>
      <w:tr w:rsidR="007C0B67" w:rsidRPr="00011B62" w:rsidTr="007C0B67">
        <w:tc>
          <w:tcPr>
            <w:tcW w:w="3070"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Slovaška</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43</w:t>
            </w:r>
          </w:p>
        </w:tc>
        <w:tc>
          <w:tcPr>
            <w:tcW w:w="3071" w:type="dxa"/>
          </w:tcPr>
          <w:p w:rsidR="007C0B67" w:rsidRPr="00011B62" w:rsidRDefault="007C0B67" w:rsidP="00011B62">
            <w:pPr>
              <w:rPr>
                <w:rFonts w:ascii="Arial" w:hAnsi="Arial" w:cs="Arial"/>
                <w:sz w:val="20"/>
                <w:szCs w:val="20"/>
                <w:lang w:val="sl-SI"/>
              </w:rPr>
            </w:pPr>
            <w:r w:rsidRPr="00011B62">
              <w:rPr>
                <w:rFonts w:ascii="Arial" w:hAnsi="Arial" w:cs="Arial"/>
                <w:sz w:val="20"/>
                <w:szCs w:val="20"/>
                <w:lang w:val="sl-SI"/>
              </w:rPr>
              <w:t>59</w:t>
            </w:r>
          </w:p>
        </w:tc>
      </w:tr>
    </w:tbl>
    <w:p w:rsidR="007C0B67" w:rsidRPr="00011B62" w:rsidRDefault="007C0B67" w:rsidP="00011B62">
      <w:pPr>
        <w:jc w:val="both"/>
        <w:rPr>
          <w:rFonts w:ascii="Arial" w:hAnsi="Arial" w:cs="Arial"/>
          <w:sz w:val="20"/>
          <w:szCs w:val="20"/>
          <w:lang w:val="sl-SI"/>
        </w:rPr>
      </w:pPr>
      <w:r w:rsidRPr="00011B62">
        <w:rPr>
          <w:rFonts w:ascii="Arial" w:hAnsi="Arial" w:cs="Arial"/>
          <w:sz w:val="20"/>
          <w:szCs w:val="20"/>
          <w:lang w:val="sl-SI"/>
        </w:rPr>
        <w:t>Vir: Evropska komisija</w:t>
      </w:r>
    </w:p>
    <w:p w:rsidR="00B672BD" w:rsidRPr="00011B62" w:rsidRDefault="00B672BD" w:rsidP="00011B62">
      <w:pPr>
        <w:jc w:val="both"/>
        <w:rPr>
          <w:rFonts w:ascii="Arial" w:hAnsi="Arial" w:cs="Arial"/>
          <w:sz w:val="20"/>
          <w:szCs w:val="20"/>
          <w:lang w:val="sl-SI"/>
        </w:rPr>
      </w:pPr>
    </w:p>
    <w:p w:rsidR="000E33B0" w:rsidRDefault="000E33B0" w:rsidP="00011B62">
      <w:pPr>
        <w:jc w:val="both"/>
        <w:rPr>
          <w:rFonts w:ascii="Arial" w:hAnsi="Arial" w:cs="Arial"/>
          <w:b/>
          <w:sz w:val="20"/>
          <w:szCs w:val="20"/>
          <w:lang w:val="sl-SI"/>
        </w:rPr>
      </w:pPr>
    </w:p>
    <w:p w:rsidR="000E33B0" w:rsidRDefault="000E33B0" w:rsidP="00011B62">
      <w:pPr>
        <w:jc w:val="both"/>
        <w:rPr>
          <w:rFonts w:ascii="Arial" w:hAnsi="Arial" w:cs="Arial"/>
          <w:b/>
          <w:sz w:val="20"/>
          <w:szCs w:val="20"/>
          <w:lang w:val="sl-SI"/>
        </w:rPr>
      </w:pPr>
    </w:p>
    <w:p w:rsidR="00B672BD" w:rsidRPr="00011B62" w:rsidRDefault="00B553E6" w:rsidP="00011B62">
      <w:pPr>
        <w:jc w:val="both"/>
        <w:rPr>
          <w:rFonts w:ascii="Arial" w:hAnsi="Arial" w:cs="Arial"/>
          <w:b/>
          <w:sz w:val="20"/>
          <w:szCs w:val="20"/>
          <w:lang w:val="sl-SI"/>
        </w:rPr>
      </w:pPr>
      <w:r w:rsidRPr="00011B62">
        <w:rPr>
          <w:rFonts w:ascii="Arial" w:hAnsi="Arial" w:cs="Arial"/>
          <w:b/>
          <w:sz w:val="20"/>
          <w:szCs w:val="20"/>
          <w:lang w:val="sl-SI"/>
        </w:rPr>
        <w:lastRenderedPageBreak/>
        <w:t>Slovenski projekti na tretjem</w:t>
      </w:r>
      <w:r w:rsidR="00B672BD" w:rsidRPr="00011B62">
        <w:rPr>
          <w:rFonts w:ascii="Arial" w:hAnsi="Arial" w:cs="Arial"/>
          <w:b/>
          <w:sz w:val="20"/>
          <w:szCs w:val="20"/>
          <w:lang w:val="sl-SI"/>
        </w:rPr>
        <w:t xml:space="preserve"> seznam</w:t>
      </w:r>
      <w:r w:rsidRPr="00011B62">
        <w:rPr>
          <w:rFonts w:ascii="Arial" w:hAnsi="Arial" w:cs="Arial"/>
          <w:b/>
          <w:sz w:val="20"/>
          <w:szCs w:val="20"/>
          <w:lang w:val="sl-SI"/>
        </w:rPr>
        <w:t>u</w:t>
      </w:r>
      <w:r w:rsidR="00B672BD" w:rsidRPr="00011B62">
        <w:rPr>
          <w:rFonts w:ascii="Arial" w:hAnsi="Arial" w:cs="Arial"/>
          <w:b/>
          <w:sz w:val="20"/>
          <w:szCs w:val="20"/>
          <w:lang w:val="sl-SI"/>
        </w:rPr>
        <w:t xml:space="preserve"> projektov skupnega interesa </w:t>
      </w:r>
    </w:p>
    <w:p w:rsidR="00B553E6" w:rsidRPr="00011B62" w:rsidRDefault="00B553E6" w:rsidP="00011B62">
      <w:pPr>
        <w:jc w:val="both"/>
        <w:rPr>
          <w:rFonts w:ascii="Arial" w:hAnsi="Arial" w:cs="Arial"/>
          <w:sz w:val="20"/>
          <w:szCs w:val="20"/>
          <w:lang w:val="sl-SI"/>
        </w:rPr>
      </w:pPr>
    </w:p>
    <w:p w:rsidR="00B553E6" w:rsidRPr="00011B62" w:rsidRDefault="00B553E6" w:rsidP="00011B62">
      <w:pPr>
        <w:jc w:val="both"/>
        <w:rPr>
          <w:rFonts w:ascii="Arial" w:hAnsi="Arial" w:cs="Arial"/>
          <w:sz w:val="20"/>
          <w:szCs w:val="20"/>
          <w:lang w:val="sl-SI"/>
        </w:rPr>
      </w:pPr>
      <w:r w:rsidRPr="00011B62">
        <w:rPr>
          <w:rFonts w:ascii="Arial" w:hAnsi="Arial" w:cs="Arial"/>
          <w:sz w:val="20"/>
          <w:szCs w:val="20"/>
          <w:lang w:val="sl-SI"/>
        </w:rPr>
        <w:t>Severno-južne plinske povezave v Srednji in Jugovzhodni Evropi:</w:t>
      </w:r>
    </w:p>
    <w:p w:rsidR="00011B62" w:rsidRDefault="00011B62" w:rsidP="00011B62">
      <w:pPr>
        <w:jc w:val="both"/>
        <w:rPr>
          <w:rFonts w:ascii="Arial" w:hAnsi="Arial" w:cs="Arial"/>
          <w:sz w:val="20"/>
          <w:szCs w:val="20"/>
          <w:lang w:val="sl-SI"/>
        </w:rPr>
      </w:pPr>
    </w:p>
    <w:p w:rsidR="00011B62" w:rsidRDefault="00011B62" w:rsidP="00011B62">
      <w:pPr>
        <w:jc w:val="both"/>
        <w:rPr>
          <w:rFonts w:ascii="Arial" w:hAnsi="Arial" w:cs="Arial"/>
          <w:sz w:val="20"/>
          <w:szCs w:val="20"/>
          <w:lang w:val="sl-SI"/>
        </w:rPr>
      </w:pPr>
      <w:r>
        <w:rPr>
          <w:rFonts w:ascii="Arial" w:hAnsi="Arial" w:cs="Arial"/>
          <w:sz w:val="20"/>
          <w:szCs w:val="20"/>
          <w:lang w:val="sl-SI"/>
        </w:rPr>
        <w:t xml:space="preserve">Madžarska-Slovenija: </w:t>
      </w:r>
    </w:p>
    <w:p w:rsidR="00B553E6" w:rsidRPr="00011B62" w:rsidRDefault="00B553E6" w:rsidP="00011B62">
      <w:pPr>
        <w:pStyle w:val="Odstavekseznama"/>
        <w:numPr>
          <w:ilvl w:val="0"/>
          <w:numId w:val="6"/>
        </w:numPr>
        <w:jc w:val="both"/>
        <w:rPr>
          <w:rFonts w:ascii="Arial" w:hAnsi="Arial" w:cs="Arial"/>
          <w:sz w:val="20"/>
          <w:szCs w:val="20"/>
          <w:lang w:val="sl-SI"/>
        </w:rPr>
      </w:pPr>
      <w:proofErr w:type="spellStart"/>
      <w:r w:rsidRPr="00011B62">
        <w:rPr>
          <w:rFonts w:ascii="Arial" w:hAnsi="Arial" w:cs="Arial"/>
          <w:sz w:val="20"/>
          <w:szCs w:val="20"/>
          <w:lang w:val="sl-SI"/>
        </w:rPr>
        <w:t>Nagykanizsa</w:t>
      </w:r>
      <w:proofErr w:type="spellEnd"/>
      <w:r w:rsidRPr="00011B62">
        <w:rPr>
          <w:rFonts w:ascii="Arial" w:hAnsi="Arial" w:cs="Arial"/>
          <w:sz w:val="20"/>
          <w:szCs w:val="20"/>
          <w:lang w:val="sl-SI"/>
        </w:rPr>
        <w:t xml:space="preserve"> — </w:t>
      </w:r>
      <w:proofErr w:type="spellStart"/>
      <w:r w:rsidRPr="00011B62">
        <w:rPr>
          <w:rFonts w:ascii="Arial" w:hAnsi="Arial" w:cs="Arial"/>
          <w:sz w:val="20"/>
          <w:szCs w:val="20"/>
          <w:lang w:val="sl-SI"/>
        </w:rPr>
        <w:t>Tornyiszentmiklós</w:t>
      </w:r>
      <w:proofErr w:type="spellEnd"/>
      <w:r w:rsidRPr="00011B62">
        <w:rPr>
          <w:rFonts w:ascii="Arial" w:hAnsi="Arial" w:cs="Arial"/>
          <w:sz w:val="20"/>
          <w:szCs w:val="20"/>
          <w:lang w:val="sl-SI"/>
        </w:rPr>
        <w:t xml:space="preserve"> (HU) — Lendava (SI) – Kidrič</w:t>
      </w:r>
      <w:r w:rsidR="00011B62" w:rsidRPr="00011B62">
        <w:rPr>
          <w:rFonts w:ascii="Arial" w:hAnsi="Arial" w:cs="Arial"/>
          <w:sz w:val="20"/>
          <w:szCs w:val="20"/>
          <w:lang w:val="sl-SI"/>
        </w:rPr>
        <w:t>evo</w:t>
      </w:r>
    </w:p>
    <w:p w:rsidR="00011B62" w:rsidRDefault="00011B62" w:rsidP="00011B62">
      <w:pPr>
        <w:jc w:val="both"/>
        <w:rPr>
          <w:rFonts w:ascii="Arial" w:hAnsi="Arial" w:cs="Arial"/>
          <w:sz w:val="20"/>
          <w:szCs w:val="20"/>
          <w:lang w:val="sl-SI"/>
        </w:rPr>
      </w:pPr>
    </w:p>
    <w:p w:rsidR="00B553E6" w:rsidRPr="00011B62" w:rsidRDefault="00B553E6" w:rsidP="00011B62">
      <w:pPr>
        <w:jc w:val="both"/>
        <w:rPr>
          <w:rFonts w:ascii="Arial" w:hAnsi="Arial" w:cs="Arial"/>
          <w:sz w:val="20"/>
          <w:szCs w:val="20"/>
          <w:lang w:val="sl-SI"/>
        </w:rPr>
      </w:pPr>
      <w:r w:rsidRPr="00011B62">
        <w:rPr>
          <w:rFonts w:ascii="Arial" w:hAnsi="Arial" w:cs="Arial"/>
          <w:sz w:val="20"/>
          <w:szCs w:val="20"/>
          <w:lang w:val="sl-SI"/>
        </w:rPr>
        <w:t>Hrvaška-Slovenija-Avstrija:</w:t>
      </w:r>
    </w:p>
    <w:p w:rsidR="00B553E6" w:rsidRPr="00011B62" w:rsidRDefault="00B553E6" w:rsidP="00011B62">
      <w:pPr>
        <w:pStyle w:val="Odstavekseznama"/>
        <w:numPr>
          <w:ilvl w:val="0"/>
          <w:numId w:val="5"/>
        </w:numPr>
        <w:jc w:val="both"/>
        <w:rPr>
          <w:rFonts w:ascii="Arial" w:hAnsi="Arial" w:cs="Arial"/>
          <w:sz w:val="20"/>
          <w:szCs w:val="20"/>
          <w:lang w:val="sl-SI"/>
        </w:rPr>
      </w:pPr>
      <w:r w:rsidRPr="00011B62">
        <w:rPr>
          <w:rFonts w:ascii="Arial" w:hAnsi="Arial" w:cs="Arial"/>
          <w:sz w:val="20"/>
          <w:szCs w:val="20"/>
          <w:lang w:val="sl-SI"/>
        </w:rPr>
        <w:t>Povezava Hrvaška-Slovenija (Lučko-</w:t>
      </w:r>
      <w:proofErr w:type="spellStart"/>
      <w:r w:rsidRPr="00011B62">
        <w:rPr>
          <w:rFonts w:ascii="Arial" w:hAnsi="Arial" w:cs="Arial"/>
          <w:sz w:val="20"/>
          <w:szCs w:val="20"/>
          <w:lang w:val="sl-SI"/>
        </w:rPr>
        <w:t>Zabok</w:t>
      </w:r>
      <w:proofErr w:type="spellEnd"/>
      <w:r w:rsidRPr="00011B62">
        <w:rPr>
          <w:rFonts w:ascii="Arial" w:hAnsi="Arial" w:cs="Arial"/>
          <w:sz w:val="20"/>
          <w:szCs w:val="20"/>
          <w:lang w:val="sl-SI"/>
        </w:rPr>
        <w:t>-Rogatec)</w:t>
      </w:r>
    </w:p>
    <w:p w:rsidR="00B553E6" w:rsidRPr="00011B62" w:rsidRDefault="00B553E6" w:rsidP="00011B62">
      <w:pPr>
        <w:pStyle w:val="Odstavekseznama"/>
        <w:numPr>
          <w:ilvl w:val="0"/>
          <w:numId w:val="5"/>
        </w:numPr>
        <w:jc w:val="both"/>
        <w:rPr>
          <w:rFonts w:ascii="Arial" w:hAnsi="Arial" w:cs="Arial"/>
          <w:sz w:val="20"/>
          <w:szCs w:val="20"/>
          <w:lang w:val="sl-SI"/>
        </w:rPr>
      </w:pPr>
      <w:r w:rsidRPr="00011B62">
        <w:rPr>
          <w:rFonts w:ascii="Arial" w:hAnsi="Arial" w:cs="Arial"/>
          <w:sz w:val="20"/>
          <w:szCs w:val="20"/>
          <w:lang w:val="sl-SI"/>
        </w:rPr>
        <w:t>Druga faza nadgradnja kompresorske postaje Kidričevo</w:t>
      </w:r>
    </w:p>
    <w:p w:rsidR="00B553E6" w:rsidRPr="00011B62" w:rsidRDefault="00B553E6" w:rsidP="00011B62">
      <w:pPr>
        <w:pStyle w:val="Odstavekseznama"/>
        <w:numPr>
          <w:ilvl w:val="0"/>
          <w:numId w:val="5"/>
        </w:numPr>
        <w:jc w:val="both"/>
        <w:rPr>
          <w:rFonts w:ascii="Arial" w:hAnsi="Arial" w:cs="Arial"/>
          <w:sz w:val="20"/>
          <w:szCs w:val="20"/>
          <w:lang w:val="sl-SI"/>
        </w:rPr>
      </w:pPr>
      <w:r w:rsidRPr="00011B62">
        <w:rPr>
          <w:rFonts w:ascii="Arial" w:hAnsi="Arial" w:cs="Arial"/>
          <w:sz w:val="20"/>
          <w:szCs w:val="20"/>
          <w:lang w:val="sl-SI"/>
        </w:rPr>
        <w:t xml:space="preserve">Nadgradnja povezave </w:t>
      </w:r>
      <w:proofErr w:type="spellStart"/>
      <w:r w:rsidRPr="00011B62">
        <w:rPr>
          <w:rFonts w:ascii="Arial" w:hAnsi="Arial" w:cs="Arial"/>
          <w:sz w:val="20"/>
          <w:szCs w:val="20"/>
          <w:lang w:val="sl-SI"/>
        </w:rPr>
        <w:t>Murfeld</w:t>
      </w:r>
      <w:proofErr w:type="spellEnd"/>
      <w:r w:rsidRPr="00011B62">
        <w:rPr>
          <w:rFonts w:ascii="Arial" w:hAnsi="Arial" w:cs="Arial"/>
          <w:sz w:val="20"/>
          <w:szCs w:val="20"/>
          <w:lang w:val="sl-SI"/>
        </w:rPr>
        <w:t>/Ceršak</w:t>
      </w:r>
    </w:p>
    <w:p w:rsidR="00B553E6" w:rsidRPr="00011B62" w:rsidRDefault="00B553E6" w:rsidP="00011B62">
      <w:pPr>
        <w:pStyle w:val="Odstavekseznama"/>
        <w:numPr>
          <w:ilvl w:val="0"/>
          <w:numId w:val="5"/>
        </w:numPr>
        <w:jc w:val="both"/>
        <w:rPr>
          <w:rFonts w:ascii="Arial" w:hAnsi="Arial" w:cs="Arial"/>
          <w:sz w:val="20"/>
          <w:szCs w:val="20"/>
          <w:lang w:val="sl-SI"/>
        </w:rPr>
      </w:pPr>
      <w:r w:rsidRPr="00011B62">
        <w:rPr>
          <w:rFonts w:ascii="Arial" w:hAnsi="Arial" w:cs="Arial"/>
          <w:sz w:val="20"/>
          <w:szCs w:val="20"/>
          <w:lang w:val="sl-SI"/>
        </w:rPr>
        <w:t>Nadgradnja povezave Rogatec</w:t>
      </w:r>
    </w:p>
    <w:p w:rsidR="00011B62" w:rsidRDefault="00011B62" w:rsidP="00011B62">
      <w:pPr>
        <w:jc w:val="both"/>
        <w:rPr>
          <w:rFonts w:ascii="Arial" w:hAnsi="Arial" w:cs="Arial"/>
          <w:sz w:val="20"/>
          <w:szCs w:val="20"/>
          <w:lang w:val="sl-SI"/>
        </w:rPr>
      </w:pPr>
    </w:p>
    <w:p w:rsidR="00A576EF" w:rsidRPr="00011B62" w:rsidRDefault="00A576EF" w:rsidP="00011B62">
      <w:pPr>
        <w:jc w:val="both"/>
        <w:rPr>
          <w:rFonts w:ascii="Arial" w:hAnsi="Arial" w:cs="Arial"/>
          <w:sz w:val="20"/>
          <w:szCs w:val="20"/>
          <w:lang w:val="sl-SI"/>
        </w:rPr>
      </w:pPr>
      <w:r w:rsidRPr="00011B62">
        <w:rPr>
          <w:rFonts w:ascii="Arial" w:hAnsi="Arial" w:cs="Arial"/>
          <w:sz w:val="20"/>
          <w:szCs w:val="20"/>
          <w:lang w:val="sl-SI"/>
        </w:rPr>
        <w:t>Pametna omrežja</w:t>
      </w:r>
      <w:r w:rsidR="00011B62">
        <w:rPr>
          <w:rFonts w:ascii="Arial" w:hAnsi="Arial" w:cs="Arial"/>
          <w:sz w:val="20"/>
          <w:szCs w:val="20"/>
          <w:lang w:val="sl-SI"/>
        </w:rPr>
        <w:t>:</w:t>
      </w:r>
    </w:p>
    <w:p w:rsidR="00A576EF" w:rsidRPr="00011B62" w:rsidRDefault="00A576EF" w:rsidP="00011B62">
      <w:pPr>
        <w:pStyle w:val="Odstavekseznama"/>
        <w:numPr>
          <w:ilvl w:val="0"/>
          <w:numId w:val="5"/>
        </w:numPr>
        <w:jc w:val="both"/>
        <w:rPr>
          <w:rFonts w:ascii="Arial" w:hAnsi="Arial" w:cs="Arial"/>
          <w:sz w:val="20"/>
          <w:szCs w:val="20"/>
          <w:lang w:val="sl-SI"/>
        </w:rPr>
      </w:pPr>
      <w:proofErr w:type="spellStart"/>
      <w:r w:rsidRPr="00011B62">
        <w:rPr>
          <w:rFonts w:ascii="Arial" w:hAnsi="Arial" w:cs="Arial"/>
          <w:sz w:val="20"/>
          <w:szCs w:val="20"/>
          <w:lang w:val="sl-SI"/>
        </w:rPr>
        <w:t>SINCRO.GRID</w:t>
      </w:r>
      <w:proofErr w:type="spellEnd"/>
      <w:r w:rsidRPr="00011B62">
        <w:rPr>
          <w:rFonts w:ascii="Arial" w:hAnsi="Arial" w:cs="Arial"/>
          <w:sz w:val="20"/>
          <w:szCs w:val="20"/>
          <w:lang w:val="sl-SI"/>
        </w:rPr>
        <w:t xml:space="preserve"> (Slovenija-Hrvaška)</w:t>
      </w:r>
    </w:p>
    <w:p w:rsidR="00A576EF" w:rsidRPr="00011B62" w:rsidRDefault="00A576EF" w:rsidP="00011B62">
      <w:pPr>
        <w:jc w:val="both"/>
        <w:rPr>
          <w:rFonts w:ascii="Arial" w:hAnsi="Arial" w:cs="Arial"/>
          <w:sz w:val="20"/>
          <w:szCs w:val="20"/>
          <w:lang w:val="sl-SI"/>
        </w:rPr>
      </w:pPr>
    </w:p>
    <w:p w:rsidR="00A576EF" w:rsidRPr="00011B62" w:rsidRDefault="00A576EF" w:rsidP="00011B62">
      <w:pPr>
        <w:jc w:val="both"/>
        <w:rPr>
          <w:rFonts w:ascii="Arial" w:hAnsi="Arial" w:cs="Arial"/>
          <w:b/>
          <w:sz w:val="20"/>
          <w:szCs w:val="20"/>
          <w:lang w:val="sl-SI"/>
        </w:rPr>
      </w:pPr>
      <w:r w:rsidRPr="00011B62">
        <w:rPr>
          <w:rFonts w:ascii="Arial" w:hAnsi="Arial" w:cs="Arial"/>
          <w:b/>
          <w:sz w:val="20"/>
          <w:szCs w:val="20"/>
          <w:lang w:val="sl-SI"/>
        </w:rPr>
        <w:t>Poročilo za Slovenijo</w:t>
      </w:r>
    </w:p>
    <w:p w:rsidR="00A576EF" w:rsidRPr="00011B62" w:rsidRDefault="00A576EF" w:rsidP="00011B62">
      <w:pPr>
        <w:jc w:val="both"/>
        <w:rPr>
          <w:rFonts w:ascii="Arial" w:hAnsi="Arial" w:cs="Arial"/>
          <w:sz w:val="20"/>
          <w:szCs w:val="20"/>
          <w:lang w:val="sl-SI"/>
        </w:rPr>
      </w:pPr>
    </w:p>
    <w:p w:rsidR="00A576EF" w:rsidRPr="00011B62" w:rsidRDefault="004C6C56" w:rsidP="00011B62">
      <w:pPr>
        <w:jc w:val="both"/>
        <w:rPr>
          <w:rFonts w:ascii="Arial" w:hAnsi="Arial" w:cs="Arial"/>
          <w:sz w:val="20"/>
          <w:szCs w:val="20"/>
          <w:lang w:val="sl-SI"/>
        </w:rPr>
      </w:pPr>
      <w:r w:rsidRPr="00011B62">
        <w:rPr>
          <w:rFonts w:ascii="Arial" w:hAnsi="Arial" w:cs="Arial"/>
          <w:sz w:val="20"/>
          <w:szCs w:val="20"/>
          <w:lang w:val="sl-SI"/>
        </w:rPr>
        <w:t xml:space="preserve">Za </w:t>
      </w:r>
      <w:proofErr w:type="spellStart"/>
      <w:r w:rsidRPr="00011B62">
        <w:rPr>
          <w:rFonts w:ascii="Arial" w:hAnsi="Arial" w:cs="Arial"/>
          <w:sz w:val="20"/>
          <w:szCs w:val="20"/>
          <w:lang w:val="sl-SI"/>
        </w:rPr>
        <w:t>d</w:t>
      </w:r>
      <w:r w:rsidR="005D225A" w:rsidRPr="00011B62">
        <w:rPr>
          <w:rFonts w:ascii="Arial" w:hAnsi="Arial" w:cs="Arial"/>
          <w:sz w:val="20"/>
          <w:szCs w:val="20"/>
          <w:lang w:val="sl-SI"/>
        </w:rPr>
        <w:t>ekarbonizacij</w:t>
      </w:r>
      <w:r w:rsidRPr="00011B62">
        <w:rPr>
          <w:rFonts w:ascii="Arial" w:hAnsi="Arial" w:cs="Arial"/>
          <w:sz w:val="20"/>
          <w:szCs w:val="20"/>
          <w:lang w:val="sl-SI"/>
        </w:rPr>
        <w:t>o</w:t>
      </w:r>
      <w:proofErr w:type="spellEnd"/>
      <w:r w:rsidR="005D225A" w:rsidRPr="00011B62">
        <w:rPr>
          <w:rFonts w:ascii="Arial" w:hAnsi="Arial" w:cs="Arial"/>
          <w:sz w:val="20"/>
          <w:szCs w:val="20"/>
          <w:lang w:val="sl-SI"/>
        </w:rPr>
        <w:t xml:space="preserve"> energetskega in prometnega sektorja bo</w:t>
      </w:r>
      <w:r w:rsidRPr="00011B62">
        <w:rPr>
          <w:rFonts w:ascii="Arial" w:hAnsi="Arial" w:cs="Arial"/>
          <w:sz w:val="20"/>
          <w:szCs w:val="20"/>
          <w:lang w:val="sl-SI"/>
        </w:rPr>
        <w:t>do</w:t>
      </w:r>
      <w:r w:rsidR="005D225A" w:rsidRPr="00011B62">
        <w:rPr>
          <w:rFonts w:ascii="Arial" w:hAnsi="Arial" w:cs="Arial"/>
          <w:sz w:val="20"/>
          <w:szCs w:val="20"/>
          <w:lang w:val="sl-SI"/>
        </w:rPr>
        <w:t xml:space="preserve"> v Slov</w:t>
      </w:r>
      <w:r w:rsidRPr="00011B62">
        <w:rPr>
          <w:rFonts w:ascii="Arial" w:hAnsi="Arial" w:cs="Arial"/>
          <w:sz w:val="20"/>
          <w:szCs w:val="20"/>
          <w:lang w:val="sl-SI"/>
        </w:rPr>
        <w:t>eniji potrebne precejšnje investicije. Energetski prehod bo potegnil za seboj strukturno spr</w:t>
      </w:r>
      <w:r w:rsidR="00011B62">
        <w:rPr>
          <w:rFonts w:ascii="Arial" w:hAnsi="Arial" w:cs="Arial"/>
          <w:sz w:val="20"/>
          <w:szCs w:val="20"/>
          <w:lang w:val="sl-SI"/>
        </w:rPr>
        <w:t>emembo gospoda</w:t>
      </w:r>
      <w:r w:rsidRPr="00011B62">
        <w:rPr>
          <w:rFonts w:ascii="Arial" w:hAnsi="Arial" w:cs="Arial"/>
          <w:sz w:val="20"/>
          <w:szCs w:val="20"/>
          <w:lang w:val="sl-SI"/>
        </w:rPr>
        <w:t xml:space="preserve">rske aktivnosti, med drugim piše v poročilu za Slovenijo. </w:t>
      </w:r>
    </w:p>
    <w:p w:rsidR="004C6C56" w:rsidRPr="00011B62" w:rsidRDefault="004C6C56" w:rsidP="00011B62">
      <w:pPr>
        <w:jc w:val="both"/>
        <w:rPr>
          <w:rFonts w:ascii="Arial" w:hAnsi="Arial" w:cs="Arial"/>
          <w:sz w:val="20"/>
          <w:szCs w:val="20"/>
          <w:lang w:val="sl-SI"/>
        </w:rPr>
      </w:pPr>
    </w:p>
    <w:p w:rsidR="004C6C56" w:rsidRPr="00011B62" w:rsidRDefault="004C6C56" w:rsidP="00011B62">
      <w:pPr>
        <w:jc w:val="both"/>
        <w:rPr>
          <w:rFonts w:ascii="Arial" w:hAnsi="Arial" w:cs="Arial"/>
          <w:sz w:val="20"/>
          <w:szCs w:val="20"/>
          <w:lang w:val="sl-SI"/>
        </w:rPr>
      </w:pPr>
      <w:r w:rsidRPr="00011B62">
        <w:rPr>
          <w:rFonts w:ascii="Arial" w:hAnsi="Arial" w:cs="Arial"/>
          <w:sz w:val="20"/>
          <w:szCs w:val="20"/>
          <w:lang w:val="sl-SI"/>
        </w:rPr>
        <w:t>V primerjavi s povprečjem EU ima Slovenija v energetski mešanici višji delež jedrske energije in obnovljivih virov energije. Delež jedrske energije je v Sloveniji 22,1 odstotka, v EU pa 13,6 odstotka, delež obnovljivih virov energije j</w:t>
      </w:r>
      <w:r w:rsidR="00011B62">
        <w:rPr>
          <w:rFonts w:ascii="Arial" w:hAnsi="Arial" w:cs="Arial"/>
          <w:sz w:val="20"/>
          <w:szCs w:val="20"/>
          <w:lang w:val="sl-SI"/>
        </w:rPr>
        <w:t>e v Sloveniji 16 odstotkov, v EU</w:t>
      </w:r>
      <w:r w:rsidRPr="00011B62">
        <w:rPr>
          <w:rFonts w:ascii="Arial" w:hAnsi="Arial" w:cs="Arial"/>
          <w:sz w:val="20"/>
          <w:szCs w:val="20"/>
          <w:lang w:val="sl-SI"/>
        </w:rPr>
        <w:t xml:space="preserve"> pa 13 odstotkov. </w:t>
      </w:r>
    </w:p>
    <w:p w:rsidR="004C6C56" w:rsidRPr="00011B62" w:rsidRDefault="004C6C56" w:rsidP="00011B62">
      <w:pPr>
        <w:jc w:val="both"/>
        <w:rPr>
          <w:rFonts w:ascii="Arial" w:hAnsi="Arial" w:cs="Arial"/>
          <w:sz w:val="20"/>
          <w:szCs w:val="20"/>
          <w:lang w:val="sl-SI"/>
        </w:rPr>
      </w:pPr>
    </w:p>
    <w:p w:rsidR="00A576EF" w:rsidRPr="00011B62" w:rsidRDefault="00A576EF" w:rsidP="00011B62">
      <w:pPr>
        <w:jc w:val="both"/>
        <w:rPr>
          <w:rFonts w:ascii="Arial" w:hAnsi="Arial" w:cs="Arial"/>
          <w:sz w:val="20"/>
          <w:szCs w:val="20"/>
          <w:lang w:val="sl-SI"/>
        </w:rPr>
      </w:pPr>
    </w:p>
    <w:p w:rsidR="00A576EF" w:rsidRPr="00011B62" w:rsidRDefault="00A576EF" w:rsidP="00011B62">
      <w:pPr>
        <w:jc w:val="both"/>
        <w:rPr>
          <w:rFonts w:ascii="Arial" w:hAnsi="Arial" w:cs="Arial"/>
          <w:sz w:val="20"/>
          <w:szCs w:val="20"/>
          <w:lang w:val="sl-SI"/>
        </w:rPr>
      </w:pPr>
      <w:r w:rsidRPr="00011B62">
        <w:rPr>
          <w:rFonts w:ascii="Arial" w:hAnsi="Arial" w:cs="Arial"/>
          <w:sz w:val="20"/>
          <w:szCs w:val="20"/>
          <w:lang w:val="sl-SI"/>
        </w:rPr>
        <w:t>Za dokončanje energetske unije je potrebno zavzeto, tesno sodelovanje med Evropsko komisijo, državami članicami in družbo kot celoto. Prav zato bodo morale države članice do začetka leta 2018 dokončati osnutke celovitih nacionalnih energetskih in podnebnih načrtov za obdobje po letu 2020, Evropska komisija navaja v poročilu o stanju energetske unije.</w:t>
      </w:r>
    </w:p>
    <w:p w:rsidR="00A576EF" w:rsidRPr="00011B62" w:rsidRDefault="00A576EF" w:rsidP="00011B62">
      <w:pPr>
        <w:jc w:val="both"/>
        <w:rPr>
          <w:rFonts w:ascii="Arial" w:hAnsi="Arial" w:cs="Arial"/>
          <w:sz w:val="20"/>
          <w:szCs w:val="20"/>
          <w:lang w:val="sl-SI"/>
        </w:rPr>
      </w:pPr>
    </w:p>
    <w:p w:rsidR="00011B62" w:rsidRPr="00011B62" w:rsidRDefault="00A576EF" w:rsidP="00011B62">
      <w:pPr>
        <w:jc w:val="both"/>
        <w:rPr>
          <w:rFonts w:ascii="Arial" w:hAnsi="Arial" w:cs="Arial"/>
          <w:b/>
          <w:sz w:val="20"/>
          <w:szCs w:val="20"/>
          <w:lang w:val="sl-SI"/>
        </w:rPr>
      </w:pPr>
      <w:r w:rsidRPr="00011B62">
        <w:rPr>
          <w:rFonts w:ascii="Arial" w:hAnsi="Arial" w:cs="Arial"/>
          <w:b/>
          <w:sz w:val="20"/>
          <w:szCs w:val="20"/>
          <w:lang w:val="sl-SI"/>
        </w:rPr>
        <w:t>Koristne informacije</w:t>
      </w:r>
      <w:r w:rsidR="00011B62" w:rsidRPr="00011B62">
        <w:rPr>
          <w:rFonts w:ascii="Arial" w:hAnsi="Arial" w:cs="Arial"/>
          <w:b/>
          <w:sz w:val="20"/>
          <w:szCs w:val="20"/>
          <w:lang w:val="sl-SI"/>
        </w:rPr>
        <w:t>:</w:t>
      </w:r>
    </w:p>
    <w:p w:rsidR="00A576EF" w:rsidRPr="00011B62" w:rsidRDefault="00A576EF" w:rsidP="00011B62">
      <w:pPr>
        <w:pStyle w:val="Odstavekseznama"/>
        <w:numPr>
          <w:ilvl w:val="0"/>
          <w:numId w:val="5"/>
        </w:numPr>
        <w:jc w:val="both"/>
        <w:rPr>
          <w:rFonts w:ascii="Arial" w:hAnsi="Arial" w:cs="Arial"/>
          <w:sz w:val="20"/>
          <w:szCs w:val="20"/>
          <w:lang w:val="sl-SI"/>
        </w:rPr>
      </w:pPr>
      <w:r w:rsidRPr="00011B62">
        <w:rPr>
          <w:rFonts w:ascii="Arial" w:hAnsi="Arial" w:cs="Arial"/>
          <w:sz w:val="20"/>
          <w:szCs w:val="20"/>
          <w:lang w:val="sl-SI"/>
        </w:rPr>
        <w:t>Tretje poročilo o stanju energetske unije s poročili za posamezne države članice</w:t>
      </w:r>
      <w:r w:rsidR="004C6C56" w:rsidRPr="00011B62">
        <w:rPr>
          <w:rFonts w:ascii="Arial" w:hAnsi="Arial" w:cs="Arial"/>
          <w:sz w:val="20"/>
          <w:szCs w:val="20"/>
          <w:lang w:val="sl-SI"/>
        </w:rPr>
        <w:t xml:space="preserve"> in drugimi spremljajočimi poročili</w:t>
      </w:r>
      <w:r w:rsidRPr="00011B62">
        <w:rPr>
          <w:rFonts w:ascii="Arial" w:hAnsi="Arial" w:cs="Arial"/>
          <w:sz w:val="20"/>
          <w:szCs w:val="20"/>
          <w:lang w:val="sl-SI"/>
        </w:rPr>
        <w:t>:</w:t>
      </w:r>
    </w:p>
    <w:p w:rsidR="00A576EF" w:rsidRPr="00011B62" w:rsidRDefault="00A576EF" w:rsidP="00011B62">
      <w:pPr>
        <w:pStyle w:val="Odstavekseznama"/>
        <w:numPr>
          <w:ilvl w:val="0"/>
          <w:numId w:val="5"/>
        </w:numPr>
        <w:jc w:val="both"/>
        <w:rPr>
          <w:rFonts w:ascii="Arial" w:hAnsi="Arial" w:cs="Arial"/>
          <w:sz w:val="20"/>
          <w:szCs w:val="20"/>
          <w:lang w:val="sl-SI"/>
        </w:rPr>
      </w:pPr>
      <w:hyperlink r:id="rId6" w:history="1">
        <w:r w:rsidRPr="00011B62">
          <w:rPr>
            <w:rStyle w:val="Hiperpovezava"/>
            <w:rFonts w:ascii="Arial" w:hAnsi="Arial" w:cs="Arial"/>
            <w:sz w:val="20"/>
            <w:szCs w:val="20"/>
            <w:lang w:val="sl-SI"/>
          </w:rPr>
          <w:t>https://ec.europa.eu/commission/publications/third-report-state-energy-union_en</w:t>
        </w:r>
      </w:hyperlink>
    </w:p>
    <w:p w:rsidR="004C6C56" w:rsidRPr="00011B62" w:rsidRDefault="004C6C56" w:rsidP="00011B62">
      <w:pPr>
        <w:jc w:val="both"/>
        <w:rPr>
          <w:rFonts w:ascii="Arial" w:hAnsi="Arial" w:cs="Arial"/>
          <w:sz w:val="20"/>
          <w:szCs w:val="20"/>
          <w:lang w:val="sl-SI"/>
        </w:rPr>
      </w:pPr>
    </w:p>
    <w:p w:rsidR="004C6C56" w:rsidRPr="00011B62" w:rsidRDefault="004C6C56" w:rsidP="00011B62">
      <w:pPr>
        <w:jc w:val="both"/>
        <w:rPr>
          <w:rFonts w:ascii="Arial" w:hAnsi="Arial" w:cs="Arial"/>
          <w:sz w:val="20"/>
          <w:szCs w:val="20"/>
          <w:lang w:val="sl-SI"/>
        </w:rPr>
      </w:pPr>
      <w:r w:rsidRPr="00011B62">
        <w:rPr>
          <w:rFonts w:ascii="Arial" w:hAnsi="Arial" w:cs="Arial"/>
          <w:sz w:val="20"/>
          <w:szCs w:val="20"/>
          <w:lang w:val="sl-SI"/>
        </w:rPr>
        <w:t>Pripravila:</w:t>
      </w:r>
    </w:p>
    <w:p w:rsidR="004C6C56" w:rsidRPr="00011B62" w:rsidRDefault="004C6C56" w:rsidP="00011B62">
      <w:pPr>
        <w:jc w:val="both"/>
        <w:rPr>
          <w:rFonts w:ascii="Arial" w:hAnsi="Arial" w:cs="Arial"/>
          <w:sz w:val="20"/>
          <w:szCs w:val="20"/>
          <w:lang w:val="sl-SI"/>
        </w:rPr>
      </w:pPr>
      <w:r w:rsidRPr="00011B62">
        <w:rPr>
          <w:rFonts w:ascii="Arial" w:hAnsi="Arial" w:cs="Arial"/>
          <w:sz w:val="20"/>
          <w:szCs w:val="20"/>
          <w:lang w:val="sl-SI"/>
        </w:rPr>
        <w:t>Darja Kocbek</w:t>
      </w:r>
    </w:p>
    <w:p w:rsidR="00A576EF" w:rsidRDefault="00A576EF" w:rsidP="00A576EF">
      <w:pPr>
        <w:pStyle w:val="Default"/>
        <w:jc w:val="both"/>
        <w:rPr>
          <w:sz w:val="23"/>
          <w:szCs w:val="23"/>
        </w:rPr>
      </w:pPr>
    </w:p>
    <w:p w:rsidR="00A576EF" w:rsidRPr="00B553E6" w:rsidRDefault="00A576EF" w:rsidP="00A576EF">
      <w:pPr>
        <w:pStyle w:val="Default"/>
        <w:jc w:val="both"/>
        <w:rPr>
          <w:sz w:val="23"/>
          <w:szCs w:val="23"/>
        </w:rPr>
      </w:pPr>
    </w:p>
    <w:sectPr w:rsidR="00A576EF" w:rsidRPr="00B553E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7A2B"/>
    <w:multiLevelType w:val="hybridMultilevel"/>
    <w:tmpl w:val="B6CC3BD8"/>
    <w:lvl w:ilvl="0" w:tplc="E2D49DF2">
      <w:start w:val="1"/>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E0F0BD0"/>
    <w:multiLevelType w:val="hybridMultilevel"/>
    <w:tmpl w:val="8D5A4FF2"/>
    <w:lvl w:ilvl="0" w:tplc="C0A880E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37E622CE"/>
    <w:multiLevelType w:val="hybridMultilevel"/>
    <w:tmpl w:val="963A9E1C"/>
    <w:lvl w:ilvl="0" w:tplc="CE02AC82">
      <w:start w:val="1"/>
      <w:numFmt w:val="decimal"/>
      <w:lvlText w:val="%1."/>
      <w:lvlJc w:val="left"/>
      <w:pPr>
        <w:ind w:left="720" w:hanging="360"/>
      </w:pPr>
      <w:rPr>
        <w:rFonts w:ascii="Arial" w:hAnsi="Arial" w:cs="Arial"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5EE5B97"/>
    <w:multiLevelType w:val="hybridMultilevel"/>
    <w:tmpl w:val="1B96C3DC"/>
    <w:lvl w:ilvl="0" w:tplc="5F6C345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EAD315C"/>
    <w:multiLevelType w:val="hybridMultilevel"/>
    <w:tmpl w:val="7A883F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DA73F87"/>
    <w:multiLevelType w:val="hybridMultilevel"/>
    <w:tmpl w:val="83583612"/>
    <w:lvl w:ilvl="0" w:tplc="7C9E40D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0AE7"/>
    <w:rsid w:val="00011B62"/>
    <w:rsid w:val="000E33B0"/>
    <w:rsid w:val="004C6C56"/>
    <w:rsid w:val="00542D29"/>
    <w:rsid w:val="005D225A"/>
    <w:rsid w:val="006753E9"/>
    <w:rsid w:val="006A0AE7"/>
    <w:rsid w:val="007C0B67"/>
    <w:rsid w:val="00A576EF"/>
    <w:rsid w:val="00B459D4"/>
    <w:rsid w:val="00B553E6"/>
    <w:rsid w:val="00B672BD"/>
    <w:rsid w:val="00E71677"/>
    <w:rsid w:val="00F3746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A0AE7"/>
    <w:pPr>
      <w:spacing w:after="0" w:afterAutospacing="0"/>
      <w:jc w:val="left"/>
    </w:pPr>
    <w:rPr>
      <w:rFonts w:ascii="Calibri" w:eastAsia="Times New Roman" w:hAnsi="Calibri" w:cs="Times New Roman"/>
      <w:sz w:val="24"/>
      <w:szCs w:val="24"/>
      <w:lang w:val="en-US" w:bidi="en-US"/>
    </w:rPr>
  </w:style>
  <w:style w:type="paragraph" w:styleId="Naslov2">
    <w:name w:val="heading 2"/>
    <w:basedOn w:val="Navaden"/>
    <w:next w:val="Navaden"/>
    <w:link w:val="Naslov2Znak"/>
    <w:uiPriority w:val="9"/>
    <w:unhideWhenUsed/>
    <w:qFormat/>
    <w:rsid w:val="00E71677"/>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A0AE7"/>
    <w:rPr>
      <w:color w:val="0000FF"/>
      <w:u w:val="single"/>
    </w:rPr>
  </w:style>
  <w:style w:type="table" w:styleId="Tabela-mrea">
    <w:name w:val="Table Grid"/>
    <w:basedOn w:val="Navadnatabela"/>
    <w:uiPriority w:val="59"/>
    <w:rsid w:val="007C0B6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B553E6"/>
    <w:pPr>
      <w:ind w:left="720"/>
      <w:contextualSpacing/>
    </w:pPr>
  </w:style>
  <w:style w:type="paragraph" w:customStyle="1" w:styleId="Default">
    <w:name w:val="Default"/>
    <w:rsid w:val="00B553E6"/>
    <w:pPr>
      <w:autoSpaceDE w:val="0"/>
      <w:autoSpaceDN w:val="0"/>
      <w:adjustRightInd w:val="0"/>
      <w:spacing w:after="0" w:afterAutospacing="0"/>
      <w:jc w:val="left"/>
    </w:pPr>
    <w:rPr>
      <w:rFonts w:ascii="Times New Roman" w:hAnsi="Times New Roman" w:cs="Times New Roman"/>
      <w:color w:val="000000"/>
      <w:sz w:val="24"/>
      <w:szCs w:val="24"/>
    </w:rPr>
  </w:style>
  <w:style w:type="character" w:customStyle="1" w:styleId="Naslov2Znak">
    <w:name w:val="Naslov 2 Znak"/>
    <w:basedOn w:val="Privzetapisavaodstavka"/>
    <w:link w:val="Naslov2"/>
    <w:uiPriority w:val="9"/>
    <w:rsid w:val="00E71677"/>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E71677"/>
    <w:pPr>
      <w:spacing w:after="0"/>
    </w:pPr>
  </w:style>
  <w:style w:type="paragraph" w:styleId="Besedilooblaka">
    <w:name w:val="Balloon Text"/>
    <w:basedOn w:val="Navaden"/>
    <w:link w:val="BesedilooblakaZnak"/>
    <w:uiPriority w:val="99"/>
    <w:semiHidden/>
    <w:unhideWhenUsed/>
    <w:rsid w:val="00E7167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71677"/>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publications/third-report-state-energy-union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476</Words>
  <Characters>2716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7</cp:revision>
  <dcterms:created xsi:type="dcterms:W3CDTF">2017-11-27T19:09:00Z</dcterms:created>
  <dcterms:modified xsi:type="dcterms:W3CDTF">2017-11-27T20:08:00Z</dcterms:modified>
</cp:coreProperties>
</file>