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ED5" w:rsidRPr="00467345" w:rsidRDefault="00431ED5" w:rsidP="00431ED5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ED5" w:rsidRPr="00083714" w:rsidRDefault="00431ED5" w:rsidP="00431ED5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431ED5" w:rsidRPr="00083714" w:rsidRDefault="00431ED5" w:rsidP="00431ED5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431ED5" w:rsidRDefault="00431ED5" w:rsidP="00431ED5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173 </w:t>
      </w:r>
      <w:r w:rsidRPr="00083714">
        <w:rPr>
          <w:b/>
        </w:rPr>
        <w:t>– 20</w:t>
      </w:r>
      <w:r>
        <w:rPr>
          <w:b/>
        </w:rPr>
        <w:t>21</w:t>
      </w:r>
    </w:p>
    <w:p w:rsidR="00431ED5" w:rsidRPr="00050C1F" w:rsidRDefault="00431ED5" w:rsidP="00431ED5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15. november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AB0F78" w:rsidRDefault="00431ED5" w:rsidP="00431ED5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Prvi razpisi programa za digitalno Evropo bodo objavljeni do konca novembra</w:t>
      </w:r>
    </w:p>
    <w:p w:rsidR="002C1268" w:rsidRPr="001C0DA4" w:rsidRDefault="0021493C" w:rsidP="001C0DA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Na podlagi</w:t>
      </w:r>
      <w:r w:rsidR="00C65638" w:rsidRPr="001C0DA4">
        <w:rPr>
          <w:rFonts w:ascii="Arial" w:hAnsi="Arial" w:cs="Arial"/>
          <w:b/>
          <w:i/>
        </w:rPr>
        <w:t xml:space="preserve"> programa za digitalno Evropo je Evropska komisija sprejela tri delovne programe</w:t>
      </w:r>
      <w:r w:rsidR="001C0DA4" w:rsidRPr="001C0DA4">
        <w:rPr>
          <w:rFonts w:ascii="Arial" w:hAnsi="Arial" w:cs="Arial"/>
          <w:b/>
          <w:i/>
        </w:rPr>
        <w:t>, v katerih so opisani cilji in posebna tematska področja, ki jim bo namenjeno skupno 1,98 milijarde evrov</w:t>
      </w:r>
      <w:r w:rsidR="00C65638" w:rsidRPr="001C0DA4">
        <w:rPr>
          <w:rFonts w:ascii="Arial" w:hAnsi="Arial" w:cs="Arial"/>
          <w:b/>
          <w:i/>
        </w:rPr>
        <w:t>. V okviru glavnega</w:t>
      </w:r>
      <w:r w:rsidR="00FD15D0" w:rsidRPr="001C0DA4">
        <w:rPr>
          <w:rFonts w:ascii="Arial" w:hAnsi="Arial" w:cs="Arial"/>
          <w:b/>
          <w:i/>
        </w:rPr>
        <w:t xml:space="preserve"> </w:t>
      </w:r>
      <w:r w:rsidR="001C0DA4" w:rsidRPr="001C0DA4">
        <w:rPr>
          <w:rFonts w:ascii="Arial" w:hAnsi="Arial" w:cs="Arial"/>
          <w:b/>
          <w:i/>
        </w:rPr>
        <w:t xml:space="preserve">programa </w:t>
      </w:r>
      <w:r w:rsidR="00C65638" w:rsidRPr="001C0DA4">
        <w:rPr>
          <w:rFonts w:ascii="Arial" w:hAnsi="Arial" w:cs="Arial"/>
          <w:b/>
          <w:i/>
        </w:rPr>
        <w:t xml:space="preserve">bo podprla naložbe s področja umetne inteligence, prostorov v oblaku in podatkovnih prostorov, infrastrukture za kvantno komunikacijo, naprednih digitalnih znanj in spretnosti ter široke uporabe digitalnih tehnologij v gospodarstvu in družbi. </w:t>
      </w:r>
      <w:r w:rsidR="00B0013B" w:rsidRPr="001C0DA4">
        <w:rPr>
          <w:rFonts w:ascii="Arial" w:hAnsi="Arial" w:cs="Arial"/>
          <w:b/>
          <w:i/>
        </w:rPr>
        <w:t xml:space="preserve">Prvi razpisi programa za digitalno Evropo bodo objavljeni do konca novembra, še več pa leta 2022. </w:t>
      </w:r>
      <w:r w:rsidR="00C65638" w:rsidRPr="001C0DA4">
        <w:rPr>
          <w:rFonts w:ascii="Arial" w:hAnsi="Arial" w:cs="Arial"/>
          <w:b/>
          <w:i/>
        </w:rPr>
        <w:t>Člani lahko dobijo več informacij na SBRA.</w:t>
      </w:r>
    </w:p>
    <w:p w:rsidR="00C65638" w:rsidRPr="00FD15D0" w:rsidRDefault="00AB0F78" w:rsidP="00FD15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Objavljeni bodo razpisi za zbiranje prijav projektov za</w:t>
      </w:r>
      <w:r w:rsidR="00C65638" w:rsidRPr="00FD15D0">
        <w:rPr>
          <w:rFonts w:ascii="Arial" w:hAnsi="Arial" w:cs="Arial"/>
          <w:sz w:val="20"/>
          <w:szCs w:val="20"/>
        </w:rPr>
        <w:t xml:space="preserve"> naložbe v uvajanje skupnih podatkovnih prostorov (podatkovnih prostorov za proizvodnjo, mobilnost in finančni sektor), ki naj bi evropskim podjetjem, vključno z malimi in srednjimi podjetji in zagonskimi podjetji, ter javnemu sektorju olajšali čezmejno izmenjavo podatkov. Podporo bo mogoče dobiti tudi za naložbe v zvezne infrastrukture in ogrodja za digitalne rešitve, ki naj bi zagotovile varen pretok podatkov.</w:t>
      </w:r>
    </w:p>
    <w:p w:rsidR="00B0013B" w:rsidRPr="00FD15D0" w:rsidRDefault="00C65638" w:rsidP="00FD15D0">
      <w:pPr>
        <w:jc w:val="both"/>
        <w:rPr>
          <w:rFonts w:ascii="Arial" w:hAnsi="Arial" w:cs="Arial"/>
          <w:sz w:val="20"/>
          <w:szCs w:val="20"/>
        </w:rPr>
      </w:pPr>
      <w:r w:rsidRPr="00FD15D0">
        <w:rPr>
          <w:rFonts w:ascii="Arial" w:hAnsi="Arial" w:cs="Arial"/>
          <w:sz w:val="20"/>
          <w:szCs w:val="20"/>
        </w:rPr>
        <w:t>V poštev pridejo naložbe v gradnjo obratov za testiranje in preskušanje rešitev, ki temeljijo na umetni inteligenci, da bi okrepili uporabo zaupanja vredne umetne inteligence (tudi v malih in srednjih podjetjih ter zagonskih podjetjih) pri odzivanju na ključne družbene izzive, vključno s podnebnimi spremembami in trajnostnim zdravstvenim varstvom (uporaba obratov za testiranje umetne inteligence na področju zdravja ter pametnih mest in skupnosti).</w:t>
      </w:r>
    </w:p>
    <w:p w:rsidR="00C65638" w:rsidRPr="00FD15D0" w:rsidRDefault="00B0013B" w:rsidP="00FD15D0">
      <w:pPr>
        <w:jc w:val="both"/>
        <w:rPr>
          <w:rFonts w:ascii="Arial" w:hAnsi="Arial" w:cs="Arial"/>
          <w:sz w:val="20"/>
          <w:szCs w:val="20"/>
        </w:rPr>
      </w:pPr>
      <w:r w:rsidRPr="00FD15D0">
        <w:rPr>
          <w:rFonts w:ascii="Arial" w:hAnsi="Arial" w:cs="Arial"/>
          <w:sz w:val="20"/>
          <w:szCs w:val="20"/>
        </w:rPr>
        <w:t>U</w:t>
      </w:r>
      <w:r w:rsidR="00C65638" w:rsidRPr="00FD15D0">
        <w:rPr>
          <w:rFonts w:ascii="Arial" w:hAnsi="Arial" w:cs="Arial"/>
          <w:sz w:val="20"/>
          <w:szCs w:val="20"/>
        </w:rPr>
        <w:t>vajanje varne infrastrukture EU za kvantno komunikacijo (</w:t>
      </w:r>
      <w:proofErr w:type="spellStart"/>
      <w:r w:rsidR="00C65638" w:rsidRPr="00FD15D0">
        <w:rPr>
          <w:rFonts w:ascii="Arial" w:hAnsi="Arial" w:cs="Arial"/>
          <w:sz w:val="20"/>
          <w:szCs w:val="20"/>
        </w:rPr>
        <w:t>EuroQCI</w:t>
      </w:r>
      <w:proofErr w:type="spellEnd"/>
      <w:r w:rsidR="00C65638" w:rsidRPr="00FD15D0">
        <w:rPr>
          <w:rFonts w:ascii="Arial" w:hAnsi="Arial" w:cs="Arial"/>
          <w:sz w:val="20"/>
          <w:szCs w:val="20"/>
        </w:rPr>
        <w:t xml:space="preserve">), ki </w:t>
      </w:r>
      <w:r w:rsidRPr="00FD15D0">
        <w:rPr>
          <w:rFonts w:ascii="Arial" w:hAnsi="Arial" w:cs="Arial"/>
          <w:sz w:val="20"/>
          <w:szCs w:val="20"/>
        </w:rPr>
        <w:t>naj bi</w:t>
      </w:r>
      <w:r w:rsidR="00C65638" w:rsidRPr="00FD15D0">
        <w:rPr>
          <w:rFonts w:ascii="Arial" w:hAnsi="Arial" w:cs="Arial"/>
          <w:sz w:val="20"/>
          <w:szCs w:val="20"/>
        </w:rPr>
        <w:t xml:space="preserve"> zagotavljala visoko odpornost proti kibernetskim napadom</w:t>
      </w:r>
      <w:r w:rsidRPr="00FD15D0">
        <w:rPr>
          <w:rFonts w:ascii="Arial" w:hAnsi="Arial" w:cs="Arial"/>
          <w:sz w:val="20"/>
          <w:szCs w:val="20"/>
        </w:rPr>
        <w:t xml:space="preserve">, pa </w:t>
      </w:r>
      <w:r w:rsidR="00C65638" w:rsidRPr="00FD15D0">
        <w:rPr>
          <w:rFonts w:ascii="Arial" w:hAnsi="Arial" w:cs="Arial"/>
          <w:sz w:val="20"/>
          <w:szCs w:val="20"/>
        </w:rPr>
        <w:t xml:space="preserve">vzpostavitev in izvajanje magistrskih programov na področju ključnih naprednih digitalnih tehnologij, da bi okrepili digitalna znanja in spretnosti v Evropi, vključno s hitrimi tečaji digitalnih spretnosti za </w:t>
      </w:r>
      <w:r w:rsidRPr="00FD15D0">
        <w:rPr>
          <w:rFonts w:ascii="Arial" w:hAnsi="Arial" w:cs="Arial"/>
          <w:sz w:val="20"/>
          <w:szCs w:val="20"/>
        </w:rPr>
        <w:t>mala in srednja podjetja, so prav tako naložbe, ki pridejo v poštev za podporo.</w:t>
      </w:r>
    </w:p>
    <w:p w:rsidR="00C65638" w:rsidRPr="00FD15D0" w:rsidRDefault="00B0013B" w:rsidP="00FD15D0">
      <w:pPr>
        <w:jc w:val="both"/>
        <w:rPr>
          <w:rFonts w:ascii="Arial" w:hAnsi="Arial" w:cs="Arial"/>
          <w:sz w:val="20"/>
          <w:szCs w:val="20"/>
        </w:rPr>
      </w:pPr>
      <w:r w:rsidRPr="00FD15D0">
        <w:rPr>
          <w:rFonts w:ascii="Arial" w:hAnsi="Arial" w:cs="Arial"/>
          <w:sz w:val="20"/>
          <w:szCs w:val="20"/>
        </w:rPr>
        <w:t xml:space="preserve">Enako velja za </w:t>
      </w:r>
      <w:r w:rsidR="00C65638" w:rsidRPr="00FD15D0">
        <w:rPr>
          <w:rFonts w:ascii="Arial" w:hAnsi="Arial" w:cs="Arial"/>
          <w:sz w:val="20"/>
          <w:szCs w:val="20"/>
        </w:rPr>
        <w:t xml:space="preserve">vzpostavitev, delovanje ter razvoj in stalno vzdrževanje digitalnih storitev, ki podpirajo čezmejno </w:t>
      </w:r>
      <w:proofErr w:type="spellStart"/>
      <w:r w:rsidR="00C65638" w:rsidRPr="00FD15D0">
        <w:rPr>
          <w:rFonts w:ascii="Arial" w:hAnsi="Arial" w:cs="Arial"/>
          <w:sz w:val="20"/>
          <w:szCs w:val="20"/>
        </w:rPr>
        <w:t>interoperabilnost</w:t>
      </w:r>
      <w:proofErr w:type="spellEnd"/>
      <w:r w:rsidR="00C65638" w:rsidRPr="00FD15D0">
        <w:rPr>
          <w:rFonts w:ascii="Arial" w:hAnsi="Arial" w:cs="Arial"/>
          <w:sz w:val="20"/>
          <w:szCs w:val="20"/>
        </w:rPr>
        <w:t xml:space="preserve"> re</w:t>
      </w:r>
      <w:r w:rsidRPr="00FD15D0">
        <w:rPr>
          <w:rFonts w:ascii="Arial" w:hAnsi="Arial" w:cs="Arial"/>
          <w:sz w:val="20"/>
          <w:szCs w:val="20"/>
        </w:rPr>
        <w:t xml:space="preserve">šitev v podporo javnim upravam, kot je </w:t>
      </w:r>
      <w:r w:rsidR="00C65638" w:rsidRPr="00FD15D0">
        <w:rPr>
          <w:rFonts w:ascii="Arial" w:hAnsi="Arial" w:cs="Arial"/>
          <w:sz w:val="20"/>
          <w:szCs w:val="20"/>
        </w:rPr>
        <w:t>evropsk</w:t>
      </w:r>
      <w:r w:rsidRPr="00FD15D0">
        <w:rPr>
          <w:rFonts w:ascii="Arial" w:hAnsi="Arial" w:cs="Arial"/>
          <w:sz w:val="20"/>
          <w:szCs w:val="20"/>
        </w:rPr>
        <w:t>a</w:t>
      </w:r>
      <w:r w:rsidR="00C65638" w:rsidRPr="00FD15D0">
        <w:rPr>
          <w:rFonts w:ascii="Arial" w:hAnsi="Arial" w:cs="Arial"/>
          <w:sz w:val="20"/>
          <w:szCs w:val="20"/>
        </w:rPr>
        <w:t xml:space="preserve"> digitaln</w:t>
      </w:r>
      <w:r w:rsidRPr="00FD15D0">
        <w:rPr>
          <w:rFonts w:ascii="Arial" w:hAnsi="Arial" w:cs="Arial"/>
          <w:sz w:val="20"/>
          <w:szCs w:val="20"/>
        </w:rPr>
        <w:t>a</w:t>
      </w:r>
      <w:r w:rsidR="00C65638" w:rsidRPr="00FD15D0">
        <w:rPr>
          <w:rFonts w:ascii="Arial" w:hAnsi="Arial" w:cs="Arial"/>
          <w:sz w:val="20"/>
          <w:szCs w:val="20"/>
        </w:rPr>
        <w:t xml:space="preserve"> identitet</w:t>
      </w:r>
      <w:r w:rsidRPr="00FD15D0">
        <w:rPr>
          <w:rFonts w:ascii="Arial" w:hAnsi="Arial" w:cs="Arial"/>
          <w:sz w:val="20"/>
          <w:szCs w:val="20"/>
        </w:rPr>
        <w:t>a.</w:t>
      </w:r>
    </w:p>
    <w:p w:rsidR="00B0013B" w:rsidRPr="00FD15D0" w:rsidRDefault="00B0013B" w:rsidP="00FD15D0">
      <w:pPr>
        <w:jc w:val="both"/>
        <w:rPr>
          <w:rFonts w:ascii="Arial" w:hAnsi="Arial" w:cs="Arial"/>
          <w:sz w:val="20"/>
          <w:szCs w:val="20"/>
        </w:rPr>
      </w:pPr>
      <w:r w:rsidRPr="00FD15D0">
        <w:rPr>
          <w:rFonts w:ascii="Arial" w:hAnsi="Arial" w:cs="Arial"/>
          <w:sz w:val="20"/>
          <w:szCs w:val="20"/>
        </w:rPr>
        <w:t xml:space="preserve">V okviru delovnega programa za kibernetsko varnost bo Evropska komisija podprla naložbe v razvoj napredne opreme, orodij in podatkovnih infrastruktur za kibernetsko varnost. Financirala bo razvoj in najboljšo uporabo znanja in spretnosti na področju kibernetske varnosti ter spodbujala izmenjave </w:t>
      </w:r>
      <w:r w:rsidRPr="00FD15D0">
        <w:rPr>
          <w:rFonts w:ascii="Arial" w:hAnsi="Arial" w:cs="Arial"/>
          <w:sz w:val="20"/>
          <w:szCs w:val="20"/>
        </w:rPr>
        <w:lastRenderedPageBreak/>
        <w:t>najboljših praks, poleg tega pa bo podprla široko uvajanje najsodobnejših rešitev za kibernetsko varnost v celotnem evropskem gospodarstvu.</w:t>
      </w:r>
    </w:p>
    <w:p w:rsidR="00B0013B" w:rsidRPr="00AB0F78" w:rsidRDefault="00B0013B" w:rsidP="00FD15D0">
      <w:pPr>
        <w:jc w:val="both"/>
        <w:rPr>
          <w:rFonts w:ascii="Arial" w:hAnsi="Arial" w:cs="Arial"/>
          <w:b/>
          <w:sz w:val="20"/>
          <w:szCs w:val="20"/>
        </w:rPr>
      </w:pPr>
      <w:r w:rsidRPr="00AB0F78">
        <w:rPr>
          <w:rFonts w:ascii="Arial" w:hAnsi="Arial" w:cs="Arial"/>
          <w:b/>
          <w:sz w:val="20"/>
          <w:szCs w:val="20"/>
        </w:rPr>
        <w:t>Koristne informacije:</w:t>
      </w:r>
    </w:p>
    <w:p w:rsidR="00B0013B" w:rsidRPr="00AB0F78" w:rsidRDefault="00B0013B" w:rsidP="00AB0F7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B0F78">
        <w:rPr>
          <w:rFonts w:ascii="Arial" w:hAnsi="Arial" w:cs="Arial"/>
          <w:sz w:val="20"/>
          <w:szCs w:val="20"/>
        </w:rPr>
        <w:t>Spletna stran programa za digitalno Evropo:</w:t>
      </w:r>
    </w:p>
    <w:p w:rsidR="00B0013B" w:rsidRPr="00AB0F78" w:rsidRDefault="002F60F3" w:rsidP="00AB0F7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B0013B" w:rsidRPr="00AB0F78">
          <w:rPr>
            <w:rStyle w:val="Hiperpovezava"/>
            <w:rFonts w:ascii="Arial" w:hAnsi="Arial" w:cs="Arial"/>
            <w:sz w:val="20"/>
            <w:szCs w:val="20"/>
          </w:rPr>
          <w:t>https://digital-strategy.ec.europa.eu/en/activities/digital-programme</w:t>
        </w:r>
      </w:hyperlink>
    </w:p>
    <w:p w:rsidR="00B0013B" w:rsidRPr="00AB0F78" w:rsidRDefault="00B0013B" w:rsidP="00AB0F7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B0F78">
        <w:rPr>
          <w:rFonts w:ascii="Arial" w:hAnsi="Arial" w:cs="Arial"/>
          <w:sz w:val="20"/>
          <w:szCs w:val="20"/>
        </w:rPr>
        <w:t>Informativni pregled programa za digitalno Evropo:</w:t>
      </w:r>
    </w:p>
    <w:p w:rsidR="00B0013B" w:rsidRPr="00AB0F78" w:rsidRDefault="002F60F3" w:rsidP="00AB0F7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="00B0013B" w:rsidRPr="00AB0F78">
          <w:rPr>
            <w:rStyle w:val="Hiperpovezava"/>
            <w:rFonts w:ascii="Arial" w:hAnsi="Arial" w:cs="Arial"/>
            <w:sz w:val="20"/>
            <w:szCs w:val="20"/>
          </w:rPr>
          <w:t>https://digital-strategy.ec.europa.eu/en/library/digital-europe-programme-eu75-billion-funding-2021-2027</w:t>
        </w:r>
      </w:hyperlink>
    </w:p>
    <w:p w:rsidR="00B0013B" w:rsidRPr="00AB0F78" w:rsidRDefault="00B0013B" w:rsidP="00AB0F7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B0F78">
        <w:rPr>
          <w:rFonts w:ascii="Arial" w:hAnsi="Arial" w:cs="Arial"/>
          <w:sz w:val="20"/>
          <w:szCs w:val="20"/>
        </w:rPr>
        <w:t>Program za digitalno Evropo – delovni programi:</w:t>
      </w:r>
    </w:p>
    <w:p w:rsidR="00B0013B" w:rsidRPr="00AB0F78" w:rsidRDefault="002F60F3" w:rsidP="00AB0F7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="00B0013B" w:rsidRPr="00AB0F78">
          <w:rPr>
            <w:rStyle w:val="Hiperpovezava"/>
            <w:rFonts w:ascii="Arial" w:hAnsi="Arial" w:cs="Arial"/>
            <w:sz w:val="20"/>
            <w:szCs w:val="20"/>
          </w:rPr>
          <w:t>https://digital-strategy.ec.europa.eu/en/activities/work-programmes-digital</w:t>
        </w:r>
      </w:hyperlink>
    </w:p>
    <w:p w:rsidR="00B0013B" w:rsidRPr="00FD15D0" w:rsidRDefault="00B0013B" w:rsidP="00AB0F7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15D0">
        <w:rPr>
          <w:rFonts w:ascii="Arial" w:hAnsi="Arial" w:cs="Arial"/>
          <w:sz w:val="20"/>
          <w:szCs w:val="20"/>
        </w:rPr>
        <w:t>Pripravila:</w:t>
      </w:r>
    </w:p>
    <w:p w:rsidR="00B0013B" w:rsidRPr="00FD15D0" w:rsidRDefault="00B0013B" w:rsidP="00AB0F7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15D0">
        <w:rPr>
          <w:rFonts w:ascii="Arial" w:hAnsi="Arial" w:cs="Arial"/>
          <w:sz w:val="20"/>
          <w:szCs w:val="20"/>
        </w:rPr>
        <w:t>Darja Kocbek</w:t>
      </w:r>
    </w:p>
    <w:p w:rsidR="00C65638" w:rsidRPr="00FD15D0" w:rsidRDefault="00C65638" w:rsidP="00AB0F78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C65638" w:rsidRPr="00FD15D0" w:rsidSect="002C1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664C0"/>
    <w:multiLevelType w:val="multilevel"/>
    <w:tmpl w:val="CD80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383087"/>
    <w:multiLevelType w:val="hybridMultilevel"/>
    <w:tmpl w:val="C4AE03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5638"/>
    <w:rsid w:val="001C0DA4"/>
    <w:rsid w:val="0021493C"/>
    <w:rsid w:val="002C1268"/>
    <w:rsid w:val="002F60F3"/>
    <w:rsid w:val="00431ED5"/>
    <w:rsid w:val="00AB0F78"/>
    <w:rsid w:val="00B0013B"/>
    <w:rsid w:val="00C65638"/>
    <w:rsid w:val="00E74FFE"/>
    <w:rsid w:val="00FD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268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31E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65638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C65638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C65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B0F78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431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1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1E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0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-strategy.ec.europa.eu/en/activities/work-programmes-digit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gital-strategy.ec.europa.eu/en/library/digital-europe-programme-eu75-billion-funding-2021-20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gital-strategy.ec.europa.eu/en/activities/digital-programm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2021-11-10T12:29:00Z</dcterms:created>
  <dcterms:modified xsi:type="dcterms:W3CDTF">2021-11-10T17:17:00Z</dcterms:modified>
</cp:coreProperties>
</file>