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5E7" w:rsidRDefault="00D835E7" w:rsidP="00D835E7">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835E7" w:rsidRDefault="00D835E7" w:rsidP="00D835E7">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D835E7" w:rsidRDefault="00D835E7" w:rsidP="00D835E7">
      <w:pPr>
        <w:pBdr>
          <w:bottom w:val="single" w:sz="6" w:space="1" w:color="auto"/>
        </w:pBdr>
        <w:tabs>
          <w:tab w:val="left" w:pos="3120"/>
        </w:tabs>
        <w:jc w:val="center"/>
        <w:rPr>
          <w:sz w:val="16"/>
          <w:szCs w:val="16"/>
        </w:rPr>
      </w:pPr>
    </w:p>
    <w:p w:rsidR="00D835E7" w:rsidRDefault="00D835E7" w:rsidP="00D835E7">
      <w:pPr>
        <w:tabs>
          <w:tab w:val="left" w:pos="3120"/>
        </w:tabs>
        <w:jc w:val="center"/>
        <w:rPr>
          <w:rFonts w:cs="Arial"/>
          <w:b/>
        </w:rPr>
      </w:pPr>
      <w:r>
        <w:rPr>
          <w:rFonts w:cs="Arial"/>
          <w:b/>
        </w:rPr>
        <w:t>Občasna informacija članom 172 – 2016</w:t>
      </w:r>
    </w:p>
    <w:p w:rsidR="00D835E7" w:rsidRPr="009A2F0F" w:rsidRDefault="00D835E7" w:rsidP="00D835E7">
      <w:pPr>
        <w:tabs>
          <w:tab w:val="left" w:pos="3120"/>
        </w:tabs>
        <w:jc w:val="center"/>
        <w:rPr>
          <w:rFonts w:cs="Arial"/>
          <w:b/>
        </w:rPr>
      </w:pPr>
      <w:r>
        <w:rPr>
          <w:rFonts w:cs="Arial"/>
          <w:b/>
        </w:rPr>
        <w:t>05. december 2016</w:t>
      </w:r>
    </w:p>
    <w:p w:rsidR="00FB0344" w:rsidRDefault="00507793" w:rsidP="00507793">
      <w:pPr>
        <w:jc w:val="center"/>
        <w:rPr>
          <w:rFonts w:ascii="Arial" w:hAnsi="Arial" w:cs="Arial"/>
          <w:b/>
          <w:i/>
        </w:rPr>
      </w:pPr>
      <w:r>
        <w:rPr>
          <w:rFonts w:ascii="Arial" w:hAnsi="Arial" w:cs="Arial"/>
          <w:b/>
          <w:color w:val="993300"/>
          <w:sz w:val="32"/>
          <w:szCs w:val="32"/>
        </w:rPr>
        <w:t>Sveženj ukrepov za učinkovitejši prehod na čisto energijo</w:t>
      </w:r>
    </w:p>
    <w:p w:rsidR="00FB0344" w:rsidRPr="00FB0344" w:rsidRDefault="00FB0344" w:rsidP="00FB0344">
      <w:pPr>
        <w:rPr>
          <w:rFonts w:ascii="Arial" w:hAnsi="Arial" w:cs="Arial"/>
          <w:b/>
          <w:i/>
        </w:rPr>
      </w:pPr>
      <w:r w:rsidRPr="00FB0344">
        <w:rPr>
          <w:rFonts w:ascii="Arial" w:hAnsi="Arial" w:cs="Arial"/>
          <w:b/>
          <w:i/>
        </w:rPr>
        <w:t xml:space="preserve">Evropska komisija je predstavila sveženj ukrepov za učinkovitejši prehod na čisto energijo. Glavni cilji njenih predlogov so: postaviti energijsko učinkovitost na prvo mesto, prevzeti vodilno vlogo na področju energije iz obnovljivih virov v svetovnem merilu in zagotoviti pošteno obravnavo odjemalcev. Zakonodajni predlogi v svežnju Čista energija za vse Evropejce zadevajo energijsko učinkovitost, energijo iz obnovljivih virov, zasnovo trga električne energije, zanesljivost oskrbe z električno energijo in nova pravila za upravljanje energetske unije. </w:t>
      </w:r>
    </w:p>
    <w:p w:rsidR="00FB0344" w:rsidRPr="00FB0344" w:rsidRDefault="00FB0344" w:rsidP="00FB0344">
      <w:pPr>
        <w:rPr>
          <w:rFonts w:ascii="Arial" w:hAnsi="Arial" w:cs="Arial"/>
          <w:sz w:val="20"/>
          <w:szCs w:val="20"/>
        </w:rPr>
      </w:pPr>
      <w:r w:rsidRPr="00FB0344">
        <w:rPr>
          <w:rFonts w:ascii="Arial" w:hAnsi="Arial" w:cs="Arial"/>
          <w:sz w:val="20"/>
          <w:szCs w:val="20"/>
        </w:rPr>
        <w:t xml:space="preserve">Komisija poleg tega predlaga novo usmeritev okoljsko primerne zasnove izdelkov ter strategijo za povezano in avtomatizirano mobilnost. V svežnju so tudi ukrepi za pospeševanje inovacij na področju čiste energije in obnovo zgradb v Evropi. Predlogi prav tako zajemajo ukrepe za spodbujanje javnih in zasebnih naložb, spodbujanje konkurenčnosti industrije ter blažitev družbenih učinkov prehoda na čisto energijo. </w:t>
      </w:r>
    </w:p>
    <w:p w:rsidR="00B459D4" w:rsidRPr="00FB0344" w:rsidRDefault="00FB0344" w:rsidP="00FB0344">
      <w:pPr>
        <w:rPr>
          <w:rFonts w:ascii="Arial" w:hAnsi="Arial" w:cs="Arial"/>
          <w:sz w:val="20"/>
          <w:szCs w:val="20"/>
        </w:rPr>
      </w:pPr>
      <w:r w:rsidRPr="00FB0344">
        <w:rPr>
          <w:rFonts w:ascii="Arial" w:hAnsi="Arial" w:cs="Arial"/>
          <w:sz w:val="20"/>
          <w:szCs w:val="20"/>
        </w:rPr>
        <w:t>Evropska komisija je objavila tudi končno poročilo o sektorski preiskavi mehanizmov električne zmogljivosti. Poročilo navaja, da države članice EU pred uvedbo mehanizmov električne zmogljivosti pogosto niso ustrezno ocenile potrebe po njih. Poleg tega veliko držav članic še vedno ne izvaja tržnih reform, ki so nujne za zagotovitev zanesljivosti oskrbe.</w:t>
      </w:r>
    </w:p>
    <w:p w:rsidR="00FB0344" w:rsidRPr="00FB0344" w:rsidRDefault="00FB0344" w:rsidP="00FB0344">
      <w:pPr>
        <w:rPr>
          <w:rFonts w:ascii="Arial" w:hAnsi="Arial" w:cs="Arial"/>
          <w:b/>
          <w:sz w:val="20"/>
          <w:szCs w:val="20"/>
        </w:rPr>
      </w:pPr>
      <w:r w:rsidRPr="00FB0344">
        <w:rPr>
          <w:rFonts w:ascii="Arial" w:hAnsi="Arial" w:cs="Arial"/>
          <w:b/>
          <w:sz w:val="20"/>
          <w:szCs w:val="20"/>
        </w:rPr>
        <w:t>Koristne informacije:</w:t>
      </w:r>
    </w:p>
    <w:p w:rsidR="00FB0344" w:rsidRPr="00FB0344" w:rsidRDefault="00FB0344" w:rsidP="00FB0344">
      <w:pPr>
        <w:pStyle w:val="Odstavekseznama"/>
        <w:numPr>
          <w:ilvl w:val="0"/>
          <w:numId w:val="1"/>
        </w:numPr>
        <w:rPr>
          <w:rFonts w:ascii="Arial" w:hAnsi="Arial" w:cs="Arial"/>
          <w:sz w:val="20"/>
          <w:szCs w:val="20"/>
        </w:rPr>
      </w:pPr>
      <w:r w:rsidRPr="00FB0344">
        <w:rPr>
          <w:rFonts w:ascii="Arial" w:hAnsi="Arial" w:cs="Arial"/>
          <w:sz w:val="20"/>
          <w:szCs w:val="20"/>
        </w:rPr>
        <w:t>Spletna stran z dokumenti iz svežnja ukrepov za učinkovitejši prehod na čisto energijo:</w:t>
      </w:r>
    </w:p>
    <w:p w:rsidR="00FB0344" w:rsidRPr="00FB0344" w:rsidRDefault="00FB0344" w:rsidP="00FB0344">
      <w:pPr>
        <w:pStyle w:val="Odstavekseznama"/>
        <w:numPr>
          <w:ilvl w:val="0"/>
          <w:numId w:val="1"/>
        </w:numPr>
        <w:rPr>
          <w:rFonts w:ascii="Arial" w:hAnsi="Arial" w:cs="Arial"/>
          <w:sz w:val="20"/>
          <w:szCs w:val="20"/>
        </w:rPr>
      </w:pPr>
      <w:hyperlink r:id="rId6" w:history="1">
        <w:r w:rsidRPr="00FB0344">
          <w:rPr>
            <w:rStyle w:val="Hiperpovezava"/>
            <w:rFonts w:ascii="Arial" w:hAnsi="Arial" w:cs="Arial"/>
            <w:sz w:val="20"/>
            <w:szCs w:val="20"/>
          </w:rPr>
          <w:t>https://ec.europa.eu/energy/en/news/commission-proposes-new-rules-consumer-centred-clean-energy-transition</w:t>
        </w:r>
      </w:hyperlink>
    </w:p>
    <w:p w:rsidR="00FB0344" w:rsidRPr="00FB0344" w:rsidRDefault="00FB0344" w:rsidP="00FB0344">
      <w:pPr>
        <w:pStyle w:val="Odstavekseznama"/>
        <w:numPr>
          <w:ilvl w:val="0"/>
          <w:numId w:val="1"/>
        </w:numPr>
        <w:rPr>
          <w:rFonts w:ascii="Arial" w:hAnsi="Arial" w:cs="Arial"/>
          <w:sz w:val="20"/>
          <w:szCs w:val="20"/>
        </w:rPr>
      </w:pPr>
      <w:r w:rsidRPr="00FB0344">
        <w:rPr>
          <w:rFonts w:ascii="Arial" w:hAnsi="Arial" w:cs="Arial"/>
          <w:sz w:val="20"/>
          <w:szCs w:val="20"/>
        </w:rPr>
        <w:t>Spletna stran z dokumenti in končnim poročilom o sektorski preiskavi mehanizmov električne zmogljivosti:</w:t>
      </w:r>
    </w:p>
    <w:p w:rsidR="00FB0344" w:rsidRPr="00FB0344" w:rsidRDefault="00FB0344" w:rsidP="00FB0344">
      <w:pPr>
        <w:pStyle w:val="Odstavekseznama"/>
        <w:numPr>
          <w:ilvl w:val="0"/>
          <w:numId w:val="1"/>
        </w:numPr>
        <w:rPr>
          <w:rFonts w:ascii="Arial" w:hAnsi="Arial" w:cs="Arial"/>
          <w:sz w:val="20"/>
          <w:szCs w:val="20"/>
        </w:rPr>
      </w:pPr>
      <w:hyperlink r:id="rId7" w:history="1">
        <w:r w:rsidRPr="00FB0344">
          <w:rPr>
            <w:rStyle w:val="Hiperpovezava"/>
            <w:rFonts w:ascii="Arial" w:hAnsi="Arial" w:cs="Arial"/>
            <w:sz w:val="20"/>
            <w:szCs w:val="20"/>
          </w:rPr>
          <w:t>http://ec.europa.eu/competition/sectors/energy/state_aid_to_secure_electricity_supply_en.html</w:t>
        </w:r>
      </w:hyperlink>
    </w:p>
    <w:p w:rsidR="00FB0344" w:rsidRPr="00FB0344" w:rsidRDefault="00FB0344" w:rsidP="00FB0344">
      <w:pPr>
        <w:rPr>
          <w:rFonts w:ascii="Arial" w:hAnsi="Arial" w:cs="Arial"/>
          <w:sz w:val="20"/>
          <w:szCs w:val="20"/>
        </w:rPr>
      </w:pPr>
      <w:r w:rsidRPr="00FB0344">
        <w:rPr>
          <w:rFonts w:ascii="Arial" w:hAnsi="Arial" w:cs="Arial"/>
          <w:sz w:val="20"/>
          <w:szCs w:val="20"/>
        </w:rPr>
        <w:t>Pripravila:</w:t>
      </w:r>
    </w:p>
    <w:p w:rsidR="00FB0344" w:rsidRPr="00FB0344" w:rsidRDefault="00FB0344" w:rsidP="00FB0344">
      <w:pPr>
        <w:rPr>
          <w:rFonts w:ascii="Arial" w:hAnsi="Arial" w:cs="Arial"/>
          <w:sz w:val="20"/>
          <w:szCs w:val="20"/>
        </w:rPr>
      </w:pPr>
      <w:r w:rsidRPr="00FB0344">
        <w:rPr>
          <w:rFonts w:ascii="Arial" w:hAnsi="Arial" w:cs="Arial"/>
          <w:sz w:val="20"/>
          <w:szCs w:val="20"/>
        </w:rPr>
        <w:t>Darja Kocbek</w:t>
      </w:r>
    </w:p>
    <w:sectPr w:rsidR="00FB0344" w:rsidRPr="00FB034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A1300"/>
    <w:multiLevelType w:val="hybridMultilevel"/>
    <w:tmpl w:val="499095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0344"/>
    <w:rsid w:val="00507793"/>
    <w:rsid w:val="00B459D4"/>
    <w:rsid w:val="00D835E7"/>
    <w:rsid w:val="00D87D3B"/>
    <w:rsid w:val="00FB034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D835E7"/>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1109074611msonormal">
    <w:name w:val="yiv1109074611msonormal"/>
    <w:basedOn w:val="Navaden"/>
    <w:rsid w:val="00FB0344"/>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FB0344"/>
    <w:rPr>
      <w:color w:val="0000FF" w:themeColor="hyperlink"/>
      <w:u w:val="single"/>
    </w:rPr>
  </w:style>
  <w:style w:type="paragraph" w:styleId="Odstavekseznama">
    <w:name w:val="List Paragraph"/>
    <w:basedOn w:val="Navaden"/>
    <w:uiPriority w:val="34"/>
    <w:qFormat/>
    <w:rsid w:val="00FB0344"/>
    <w:pPr>
      <w:ind w:left="720"/>
      <w:contextualSpacing/>
    </w:pPr>
  </w:style>
  <w:style w:type="character" w:customStyle="1" w:styleId="Naslov2Znak">
    <w:name w:val="Naslov 2 Znak"/>
    <w:basedOn w:val="Privzetapisavaodstavka"/>
    <w:link w:val="Naslov2"/>
    <w:rsid w:val="00D835E7"/>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D835E7"/>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835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26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competition/sectors/energy/state_aid_to_secure_electricity_supply_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nergy/en/news/commission-proposes-new-rules-consumer-centred-clean-energy-transi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324</Words>
  <Characters>1849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2016-11-30T20:57:00Z</dcterms:created>
  <dcterms:modified xsi:type="dcterms:W3CDTF">2016-11-30T21:08:00Z</dcterms:modified>
</cp:coreProperties>
</file>