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714" w:rsidRPr="00083714" w:rsidRDefault="00083714" w:rsidP="00083714">
      <w:pPr>
        <w:tabs>
          <w:tab w:val="left" w:pos="2520"/>
          <w:tab w:val="left" w:pos="2700"/>
          <w:tab w:val="left" w:pos="3120"/>
        </w:tabs>
        <w:jc w:val="center"/>
        <w:rPr>
          <w:lang w:val="sl-SI"/>
        </w:rPr>
      </w:pPr>
      <w:r w:rsidRPr="00083714">
        <w:rPr>
          <w:lang w:val="sl-SI"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83714" w:rsidRPr="00083714" w:rsidRDefault="00083714" w:rsidP="00083714">
      <w:pPr>
        <w:pStyle w:val="Naslov2"/>
        <w:tabs>
          <w:tab w:val="left" w:pos="3120"/>
        </w:tabs>
        <w:spacing w:before="0"/>
        <w:jc w:val="center"/>
        <w:rPr>
          <w:sz w:val="22"/>
        </w:rPr>
      </w:pPr>
    </w:p>
    <w:p w:rsidR="00083714" w:rsidRPr="00083714" w:rsidRDefault="00083714" w:rsidP="00083714">
      <w:pPr>
        <w:pStyle w:val="Naslov2"/>
        <w:tabs>
          <w:tab w:val="left" w:pos="3120"/>
        </w:tabs>
        <w:spacing w:before="0"/>
        <w:jc w:val="center"/>
        <w:rPr>
          <w:b w:val="0"/>
          <w:bCs w:val="0"/>
          <w:i/>
          <w:iCs/>
          <w:sz w:val="22"/>
        </w:rPr>
      </w:pPr>
      <w:r w:rsidRPr="00083714">
        <w:rPr>
          <w:sz w:val="22"/>
        </w:rPr>
        <w:t>Slovensko gospodarsko in raziskovalno združenje, Bruselj</w:t>
      </w:r>
    </w:p>
    <w:p w:rsidR="00083714" w:rsidRPr="00083714" w:rsidRDefault="00083714" w:rsidP="00083714">
      <w:pPr>
        <w:pBdr>
          <w:bottom w:val="single" w:sz="6" w:space="1" w:color="auto"/>
        </w:pBdr>
        <w:tabs>
          <w:tab w:val="left" w:pos="3120"/>
        </w:tabs>
        <w:jc w:val="center"/>
        <w:rPr>
          <w:sz w:val="16"/>
          <w:szCs w:val="16"/>
          <w:lang w:val="sl-SI"/>
        </w:rPr>
      </w:pPr>
    </w:p>
    <w:p w:rsidR="00083714" w:rsidRDefault="00083714" w:rsidP="00083714">
      <w:pPr>
        <w:tabs>
          <w:tab w:val="left" w:pos="3120"/>
        </w:tabs>
        <w:rPr>
          <w:b/>
          <w:lang w:val="sl-SI"/>
        </w:rPr>
      </w:pPr>
      <w:r w:rsidRPr="00083714">
        <w:rPr>
          <w:b/>
          <w:lang w:val="sl-SI"/>
        </w:rPr>
        <w:tab/>
      </w:r>
    </w:p>
    <w:p w:rsidR="00083714" w:rsidRPr="00083714" w:rsidRDefault="00083714" w:rsidP="00083714">
      <w:pPr>
        <w:tabs>
          <w:tab w:val="left" w:pos="3120"/>
        </w:tabs>
        <w:jc w:val="center"/>
        <w:rPr>
          <w:b/>
          <w:lang w:val="sl-SI"/>
        </w:rPr>
      </w:pPr>
      <w:r>
        <w:rPr>
          <w:b/>
          <w:lang w:val="sl-SI"/>
        </w:rPr>
        <w:t>Občasna informacija članom 171</w:t>
      </w:r>
      <w:r w:rsidRPr="00083714">
        <w:rPr>
          <w:b/>
          <w:lang w:val="sl-SI"/>
        </w:rPr>
        <w:t xml:space="preserve"> – 2019</w:t>
      </w:r>
    </w:p>
    <w:p w:rsidR="00083714" w:rsidRPr="00083714" w:rsidRDefault="00083714" w:rsidP="00083714">
      <w:pPr>
        <w:tabs>
          <w:tab w:val="left" w:pos="3120"/>
        </w:tabs>
        <w:jc w:val="center"/>
        <w:rPr>
          <w:b/>
          <w:lang w:val="sl-SI"/>
        </w:rPr>
      </w:pPr>
      <w:r>
        <w:rPr>
          <w:b/>
          <w:lang w:val="sl-SI"/>
        </w:rPr>
        <w:t>25</w:t>
      </w:r>
      <w:r w:rsidRPr="00083714">
        <w:rPr>
          <w:b/>
          <w:lang w:val="sl-SI"/>
        </w:rPr>
        <w:t>. november 2019</w:t>
      </w:r>
    </w:p>
    <w:p w:rsidR="00083714" w:rsidRPr="00083714" w:rsidRDefault="00083714" w:rsidP="00083714">
      <w:pPr>
        <w:spacing w:before="240"/>
        <w:jc w:val="center"/>
        <w:rPr>
          <w:rFonts w:ascii="Arial" w:hAnsi="Arial" w:cs="Arial"/>
          <w:b/>
          <w:i/>
          <w:sz w:val="22"/>
          <w:szCs w:val="22"/>
          <w:lang w:val="sl-SI"/>
        </w:rPr>
      </w:pPr>
      <w:r>
        <w:rPr>
          <w:b/>
          <w:color w:val="993300"/>
          <w:sz w:val="32"/>
          <w:szCs w:val="32"/>
          <w:lang w:val="sl-SI"/>
        </w:rPr>
        <w:t>Nizke obrestne mere lahko nebančne institucije spodbujajo k prevzemu previsokega tveganja, opozarja Evropska centralna banka</w:t>
      </w:r>
    </w:p>
    <w:p w:rsidR="005C4769" w:rsidRPr="009D0ADE" w:rsidRDefault="005C4769" w:rsidP="009D0ADE">
      <w:pPr>
        <w:spacing w:before="240"/>
        <w:jc w:val="both"/>
        <w:rPr>
          <w:rFonts w:ascii="Arial" w:hAnsi="Arial" w:cs="Arial"/>
          <w:b/>
          <w:i/>
          <w:sz w:val="22"/>
          <w:szCs w:val="22"/>
          <w:lang w:val="sl-SI"/>
        </w:rPr>
      </w:pPr>
      <w:r w:rsidRPr="009D0ADE">
        <w:rPr>
          <w:rFonts w:ascii="Arial" w:hAnsi="Arial" w:cs="Arial"/>
          <w:b/>
          <w:i/>
          <w:sz w:val="22"/>
          <w:szCs w:val="22"/>
          <w:lang w:val="sl-SI"/>
        </w:rPr>
        <w:t>Nebančne finančne institucije, kot so investicijski skladi, zavarovalnice, pokojninski skladi, ki postajajo vse pomembnejši pri financiranju realnega gospodarstva, sprejemajo vse več tveganj in so povečale izpostavljenost bolj tveganim delom gospodarstva in držav, v novem poročilu o finančni stabilnosti navaja Evropska centralna banka (ECB). Nizke obrestne mere naj bi spodbujale gospodarsko aktivnost v območju evra, a lahko tudi spodbujajo določene nebančne</w:t>
      </w:r>
      <w:r w:rsidR="009204F8" w:rsidRPr="009D0ADE">
        <w:rPr>
          <w:rFonts w:ascii="Arial" w:hAnsi="Arial" w:cs="Arial"/>
          <w:b/>
          <w:i/>
          <w:sz w:val="22"/>
          <w:szCs w:val="22"/>
          <w:lang w:val="sl-SI"/>
        </w:rPr>
        <w:t xml:space="preserve"> finančne institucije, podjetja</w:t>
      </w:r>
      <w:r w:rsidRPr="009D0ADE">
        <w:rPr>
          <w:rFonts w:ascii="Arial" w:hAnsi="Arial" w:cs="Arial"/>
          <w:b/>
          <w:i/>
          <w:sz w:val="22"/>
          <w:szCs w:val="22"/>
          <w:lang w:val="sl-SI"/>
        </w:rPr>
        <w:t xml:space="preserve">, ki se v visoki meri financirajo z </w:t>
      </w:r>
      <w:r w:rsidR="009204F8" w:rsidRPr="009D0ADE">
        <w:rPr>
          <w:rFonts w:ascii="Arial" w:hAnsi="Arial" w:cs="Arial"/>
          <w:b/>
          <w:i/>
          <w:sz w:val="22"/>
          <w:szCs w:val="22"/>
          <w:lang w:val="sl-SI"/>
        </w:rPr>
        <w:t>zadolževanjem, in določene nepremičninske trge, k prevzemu previsokega tveganja.</w:t>
      </w:r>
    </w:p>
    <w:p w:rsidR="009204F8" w:rsidRPr="009D0ADE" w:rsidRDefault="00CA10BA" w:rsidP="009D0ADE">
      <w:pPr>
        <w:spacing w:before="240"/>
        <w:jc w:val="both"/>
        <w:rPr>
          <w:rFonts w:ascii="Arial" w:hAnsi="Arial" w:cs="Arial"/>
          <w:sz w:val="20"/>
          <w:szCs w:val="20"/>
          <w:lang w:val="sl-SI"/>
        </w:rPr>
      </w:pPr>
      <w:r w:rsidRPr="009D0ADE">
        <w:rPr>
          <w:rFonts w:ascii="Arial" w:hAnsi="Arial" w:cs="Arial"/>
          <w:sz w:val="20"/>
          <w:szCs w:val="20"/>
          <w:lang w:val="sl-SI"/>
        </w:rPr>
        <w:t xml:space="preserve">Znaki, ki v določenih sektorjih kažejo na preveliko prevzemanje tveganj, v nekaterih državah zahtevajo spremljanje in ciljne </w:t>
      </w:r>
      <w:proofErr w:type="spellStart"/>
      <w:r w:rsidRPr="009D0ADE">
        <w:rPr>
          <w:rFonts w:ascii="Arial" w:hAnsi="Arial" w:cs="Arial"/>
          <w:sz w:val="20"/>
          <w:szCs w:val="20"/>
          <w:lang w:val="sl-SI"/>
        </w:rPr>
        <w:t>makrobonitetne</w:t>
      </w:r>
      <w:proofErr w:type="spellEnd"/>
      <w:r w:rsidRPr="009D0ADE">
        <w:rPr>
          <w:rFonts w:ascii="Arial" w:hAnsi="Arial" w:cs="Arial"/>
          <w:sz w:val="20"/>
          <w:szCs w:val="20"/>
          <w:lang w:val="sl-SI"/>
        </w:rPr>
        <w:t xml:space="preserve"> ukrepe. Kaže, da nizke obrestne mere spodbujajo bolj tvegana podjetja, da najemajo več posojil, istočasno cene na nepremičninskih trgih v več državah z evrom še naprej rastejo, navaja ECB. Pristojni organi naj zato še naprej uporabljajo </w:t>
      </w:r>
      <w:proofErr w:type="spellStart"/>
      <w:r w:rsidRPr="009D0ADE">
        <w:rPr>
          <w:rFonts w:ascii="Arial" w:hAnsi="Arial" w:cs="Arial"/>
          <w:sz w:val="20"/>
          <w:szCs w:val="20"/>
          <w:lang w:val="sl-SI"/>
        </w:rPr>
        <w:t>makrobonitetne</w:t>
      </w:r>
      <w:proofErr w:type="spellEnd"/>
      <w:r w:rsidRPr="009D0ADE">
        <w:rPr>
          <w:rFonts w:ascii="Arial" w:hAnsi="Arial" w:cs="Arial"/>
          <w:sz w:val="20"/>
          <w:szCs w:val="20"/>
          <w:lang w:val="sl-SI"/>
        </w:rPr>
        <w:t xml:space="preserve"> ukrepe, kjer so na voljo</w:t>
      </w:r>
      <w:r w:rsidR="007B19A8" w:rsidRPr="009D0ADE">
        <w:rPr>
          <w:rFonts w:ascii="Arial" w:hAnsi="Arial" w:cs="Arial"/>
          <w:sz w:val="20"/>
          <w:szCs w:val="20"/>
          <w:lang w:val="sl-SI"/>
        </w:rPr>
        <w:t>, za zmanjševanje tveganj za finančno stabilnost.</w:t>
      </w:r>
    </w:p>
    <w:p w:rsidR="007B19A8" w:rsidRPr="009D0ADE" w:rsidRDefault="007B19A8" w:rsidP="009D0ADE">
      <w:pPr>
        <w:spacing w:before="240"/>
        <w:jc w:val="both"/>
        <w:rPr>
          <w:rFonts w:ascii="Arial" w:hAnsi="Arial" w:cs="Arial"/>
          <w:sz w:val="20"/>
          <w:szCs w:val="20"/>
          <w:lang w:val="sl-SI"/>
        </w:rPr>
      </w:pPr>
      <w:r w:rsidRPr="009D0ADE">
        <w:rPr>
          <w:rFonts w:ascii="Arial" w:hAnsi="Arial" w:cs="Arial"/>
          <w:sz w:val="20"/>
          <w:szCs w:val="20"/>
          <w:lang w:val="sl-SI"/>
        </w:rPr>
        <w:t xml:space="preserve">Banke v državah z evrom še naprej krepijo odpornost, malo napredka pa so dosegle na področju dobičkonosnosti. Učinkovitost in dobičkonosnost bank bi okrepila konsolidacija. </w:t>
      </w:r>
    </w:p>
    <w:p w:rsidR="00B35826" w:rsidRPr="00B35826" w:rsidRDefault="000E148F" w:rsidP="009D0ADE">
      <w:pPr>
        <w:spacing w:before="240"/>
        <w:jc w:val="both"/>
        <w:rPr>
          <w:rFonts w:ascii="Arial" w:hAnsi="Arial" w:cs="Arial"/>
          <w:b/>
          <w:sz w:val="20"/>
          <w:szCs w:val="20"/>
          <w:lang w:val="sl-SI"/>
        </w:rPr>
      </w:pPr>
      <w:r w:rsidRPr="00B35826">
        <w:rPr>
          <w:rFonts w:ascii="Arial" w:hAnsi="Arial" w:cs="Arial"/>
          <w:b/>
          <w:sz w:val="20"/>
          <w:szCs w:val="20"/>
          <w:lang w:val="sl-SI"/>
        </w:rPr>
        <w:t>Tabela 1: Število bank po velikost v državah z evrom v letih 2008 in 2019</w:t>
      </w:r>
    </w:p>
    <w:p w:rsidR="000E148F" w:rsidRPr="00B35826" w:rsidRDefault="000E148F" w:rsidP="009D0ADE">
      <w:pPr>
        <w:spacing w:before="240"/>
        <w:jc w:val="both"/>
        <w:rPr>
          <w:rFonts w:ascii="Arial" w:hAnsi="Arial" w:cs="Arial"/>
          <w:b/>
          <w:sz w:val="20"/>
          <w:szCs w:val="20"/>
          <w:lang w:val="sl-SI"/>
        </w:rPr>
      </w:pPr>
      <w:r w:rsidRPr="00B35826">
        <w:rPr>
          <w:rFonts w:ascii="Arial" w:hAnsi="Arial" w:cs="Arial"/>
          <w:b/>
          <w:sz w:val="20"/>
          <w:szCs w:val="20"/>
          <w:lang w:val="sl-SI"/>
        </w:rPr>
        <w:t xml:space="preserve"> </w:t>
      </w:r>
    </w:p>
    <w:tbl>
      <w:tblPr>
        <w:tblStyle w:val="Tabela-mrea"/>
        <w:tblW w:w="0" w:type="auto"/>
        <w:tblLook w:val="04A0"/>
      </w:tblPr>
      <w:tblGrid>
        <w:gridCol w:w="3070"/>
        <w:gridCol w:w="3071"/>
        <w:gridCol w:w="3071"/>
      </w:tblGrid>
      <w:tr w:rsidR="000E148F" w:rsidRPr="009D0ADE" w:rsidTr="000E148F">
        <w:tc>
          <w:tcPr>
            <w:tcW w:w="3070" w:type="dxa"/>
          </w:tcPr>
          <w:p w:rsidR="000E148F" w:rsidRPr="00B35826" w:rsidRDefault="000E148F" w:rsidP="009D0ADE">
            <w:pPr>
              <w:spacing w:before="240"/>
              <w:jc w:val="both"/>
              <w:rPr>
                <w:rFonts w:ascii="Arial" w:hAnsi="Arial" w:cs="Arial"/>
                <w:b/>
                <w:sz w:val="20"/>
                <w:szCs w:val="20"/>
                <w:lang w:val="sl-SI"/>
              </w:rPr>
            </w:pPr>
            <w:r w:rsidRPr="00B35826">
              <w:rPr>
                <w:rFonts w:ascii="Arial" w:hAnsi="Arial" w:cs="Arial"/>
                <w:b/>
                <w:sz w:val="20"/>
                <w:szCs w:val="20"/>
                <w:lang w:val="sl-SI"/>
              </w:rPr>
              <w:t>Leto</w:t>
            </w:r>
          </w:p>
        </w:tc>
        <w:tc>
          <w:tcPr>
            <w:tcW w:w="3071" w:type="dxa"/>
          </w:tcPr>
          <w:p w:rsidR="000E148F" w:rsidRPr="00B35826" w:rsidRDefault="000E148F" w:rsidP="009D0ADE">
            <w:pPr>
              <w:spacing w:before="240"/>
              <w:jc w:val="both"/>
              <w:rPr>
                <w:rFonts w:ascii="Arial" w:hAnsi="Arial" w:cs="Arial"/>
                <w:b/>
                <w:sz w:val="20"/>
                <w:szCs w:val="20"/>
                <w:lang w:val="sl-SI"/>
              </w:rPr>
            </w:pPr>
            <w:r w:rsidRPr="00B35826">
              <w:rPr>
                <w:rFonts w:ascii="Arial" w:hAnsi="Arial" w:cs="Arial"/>
                <w:b/>
                <w:sz w:val="20"/>
                <w:szCs w:val="20"/>
                <w:lang w:val="sl-SI"/>
              </w:rPr>
              <w:t>2008</w:t>
            </w:r>
          </w:p>
        </w:tc>
        <w:tc>
          <w:tcPr>
            <w:tcW w:w="3071" w:type="dxa"/>
          </w:tcPr>
          <w:p w:rsidR="000E148F" w:rsidRPr="00B35826" w:rsidRDefault="000E148F" w:rsidP="009D0ADE">
            <w:pPr>
              <w:spacing w:before="240"/>
              <w:jc w:val="both"/>
              <w:rPr>
                <w:rFonts w:ascii="Arial" w:hAnsi="Arial" w:cs="Arial"/>
                <w:b/>
                <w:sz w:val="20"/>
                <w:szCs w:val="20"/>
                <w:lang w:val="sl-SI"/>
              </w:rPr>
            </w:pPr>
            <w:r w:rsidRPr="00B35826">
              <w:rPr>
                <w:rFonts w:ascii="Arial" w:hAnsi="Arial" w:cs="Arial"/>
                <w:b/>
                <w:sz w:val="20"/>
                <w:szCs w:val="20"/>
                <w:lang w:val="sl-SI"/>
              </w:rPr>
              <w:t>2019</w:t>
            </w:r>
          </w:p>
        </w:tc>
      </w:tr>
      <w:tr w:rsidR="000E148F" w:rsidRPr="009D0ADE" w:rsidTr="000E148F">
        <w:tc>
          <w:tcPr>
            <w:tcW w:w="3070" w:type="dxa"/>
          </w:tcPr>
          <w:p w:rsidR="000E148F" w:rsidRPr="00B35826" w:rsidRDefault="000E148F" w:rsidP="009D0ADE">
            <w:pPr>
              <w:spacing w:before="240"/>
              <w:jc w:val="both"/>
              <w:rPr>
                <w:rFonts w:ascii="Arial" w:hAnsi="Arial" w:cs="Arial"/>
                <w:b/>
                <w:sz w:val="20"/>
                <w:szCs w:val="20"/>
                <w:lang w:val="sl-SI"/>
              </w:rPr>
            </w:pPr>
            <w:r w:rsidRPr="00B35826">
              <w:rPr>
                <w:rFonts w:ascii="Arial" w:hAnsi="Arial" w:cs="Arial"/>
                <w:b/>
                <w:sz w:val="20"/>
                <w:szCs w:val="20"/>
                <w:lang w:val="sl-SI"/>
              </w:rPr>
              <w:t>Majhne</w:t>
            </w:r>
          </w:p>
        </w:tc>
        <w:tc>
          <w:tcPr>
            <w:tcW w:w="3071" w:type="dxa"/>
          </w:tcPr>
          <w:p w:rsidR="000E148F" w:rsidRPr="009D0ADE" w:rsidRDefault="000E148F" w:rsidP="009D0ADE">
            <w:pPr>
              <w:spacing w:before="240"/>
              <w:jc w:val="both"/>
              <w:rPr>
                <w:rFonts w:ascii="Arial" w:hAnsi="Arial" w:cs="Arial"/>
                <w:sz w:val="20"/>
                <w:szCs w:val="20"/>
                <w:lang w:val="sl-SI"/>
              </w:rPr>
            </w:pPr>
            <w:r w:rsidRPr="009D0ADE">
              <w:rPr>
                <w:rFonts w:ascii="Arial" w:hAnsi="Arial" w:cs="Arial"/>
                <w:sz w:val="20"/>
                <w:szCs w:val="20"/>
                <w:lang w:val="sl-SI"/>
              </w:rPr>
              <w:t>2350</w:t>
            </w:r>
          </w:p>
        </w:tc>
        <w:tc>
          <w:tcPr>
            <w:tcW w:w="3071" w:type="dxa"/>
          </w:tcPr>
          <w:p w:rsidR="000E148F" w:rsidRPr="009D0ADE" w:rsidRDefault="000E148F" w:rsidP="009D0ADE">
            <w:pPr>
              <w:spacing w:before="240"/>
              <w:jc w:val="both"/>
              <w:rPr>
                <w:rFonts w:ascii="Arial" w:hAnsi="Arial" w:cs="Arial"/>
                <w:sz w:val="20"/>
                <w:szCs w:val="20"/>
                <w:lang w:val="sl-SI"/>
              </w:rPr>
            </w:pPr>
            <w:r w:rsidRPr="009D0ADE">
              <w:rPr>
                <w:rFonts w:ascii="Arial" w:hAnsi="Arial" w:cs="Arial"/>
                <w:sz w:val="20"/>
                <w:szCs w:val="20"/>
                <w:lang w:val="sl-SI"/>
              </w:rPr>
              <w:t>1493</w:t>
            </w:r>
          </w:p>
        </w:tc>
      </w:tr>
      <w:tr w:rsidR="000E148F" w:rsidRPr="009D0ADE" w:rsidTr="000E148F">
        <w:tc>
          <w:tcPr>
            <w:tcW w:w="3070" w:type="dxa"/>
          </w:tcPr>
          <w:p w:rsidR="000E148F" w:rsidRPr="00B35826" w:rsidRDefault="000E148F" w:rsidP="009D0ADE">
            <w:pPr>
              <w:spacing w:before="240"/>
              <w:jc w:val="both"/>
              <w:rPr>
                <w:rFonts w:ascii="Arial" w:hAnsi="Arial" w:cs="Arial"/>
                <w:b/>
                <w:sz w:val="20"/>
                <w:szCs w:val="20"/>
                <w:lang w:val="sl-SI"/>
              </w:rPr>
            </w:pPr>
            <w:r w:rsidRPr="00B35826">
              <w:rPr>
                <w:rFonts w:ascii="Arial" w:hAnsi="Arial" w:cs="Arial"/>
                <w:b/>
                <w:sz w:val="20"/>
                <w:szCs w:val="20"/>
                <w:lang w:val="sl-SI"/>
              </w:rPr>
              <w:t>Srednje</w:t>
            </w:r>
          </w:p>
        </w:tc>
        <w:tc>
          <w:tcPr>
            <w:tcW w:w="3071" w:type="dxa"/>
          </w:tcPr>
          <w:p w:rsidR="000E148F" w:rsidRPr="009D0ADE" w:rsidRDefault="000E148F" w:rsidP="009D0ADE">
            <w:pPr>
              <w:spacing w:before="240"/>
              <w:jc w:val="both"/>
              <w:rPr>
                <w:rFonts w:ascii="Arial" w:hAnsi="Arial" w:cs="Arial"/>
                <w:sz w:val="20"/>
                <w:szCs w:val="20"/>
                <w:lang w:val="sl-SI"/>
              </w:rPr>
            </w:pPr>
            <w:r w:rsidRPr="009D0ADE">
              <w:rPr>
                <w:rFonts w:ascii="Arial" w:hAnsi="Arial" w:cs="Arial"/>
                <w:sz w:val="20"/>
                <w:szCs w:val="20"/>
                <w:lang w:val="sl-SI"/>
              </w:rPr>
              <w:t>518</w:t>
            </w:r>
          </w:p>
        </w:tc>
        <w:tc>
          <w:tcPr>
            <w:tcW w:w="3071" w:type="dxa"/>
          </w:tcPr>
          <w:p w:rsidR="000E148F" w:rsidRPr="009D0ADE" w:rsidRDefault="000E148F" w:rsidP="009D0ADE">
            <w:pPr>
              <w:spacing w:before="240"/>
              <w:jc w:val="both"/>
              <w:rPr>
                <w:rFonts w:ascii="Arial" w:hAnsi="Arial" w:cs="Arial"/>
                <w:sz w:val="20"/>
                <w:szCs w:val="20"/>
                <w:lang w:val="sl-SI"/>
              </w:rPr>
            </w:pPr>
            <w:r w:rsidRPr="009D0ADE">
              <w:rPr>
                <w:rFonts w:ascii="Arial" w:hAnsi="Arial" w:cs="Arial"/>
                <w:sz w:val="20"/>
                <w:szCs w:val="20"/>
                <w:lang w:val="sl-SI"/>
              </w:rPr>
              <w:t>557</w:t>
            </w:r>
          </w:p>
        </w:tc>
      </w:tr>
      <w:tr w:rsidR="000E148F" w:rsidRPr="009D0ADE" w:rsidTr="000E148F">
        <w:tc>
          <w:tcPr>
            <w:tcW w:w="3070" w:type="dxa"/>
          </w:tcPr>
          <w:p w:rsidR="000E148F" w:rsidRPr="00B35826" w:rsidRDefault="000E148F" w:rsidP="009D0ADE">
            <w:pPr>
              <w:spacing w:before="240"/>
              <w:jc w:val="both"/>
              <w:rPr>
                <w:rFonts w:ascii="Arial" w:hAnsi="Arial" w:cs="Arial"/>
                <w:b/>
                <w:sz w:val="20"/>
                <w:szCs w:val="20"/>
                <w:lang w:val="sl-SI"/>
              </w:rPr>
            </w:pPr>
            <w:r w:rsidRPr="00B35826">
              <w:rPr>
                <w:rFonts w:ascii="Arial" w:hAnsi="Arial" w:cs="Arial"/>
                <w:b/>
                <w:sz w:val="20"/>
                <w:szCs w:val="20"/>
                <w:lang w:val="sl-SI"/>
              </w:rPr>
              <w:t xml:space="preserve">Velike </w:t>
            </w:r>
          </w:p>
        </w:tc>
        <w:tc>
          <w:tcPr>
            <w:tcW w:w="3071" w:type="dxa"/>
          </w:tcPr>
          <w:p w:rsidR="000E148F" w:rsidRPr="009D0ADE" w:rsidRDefault="000E148F" w:rsidP="009D0ADE">
            <w:pPr>
              <w:spacing w:before="240"/>
              <w:jc w:val="both"/>
              <w:rPr>
                <w:rFonts w:ascii="Arial" w:hAnsi="Arial" w:cs="Arial"/>
                <w:sz w:val="20"/>
                <w:szCs w:val="20"/>
                <w:lang w:val="sl-SI"/>
              </w:rPr>
            </w:pPr>
            <w:r w:rsidRPr="009D0ADE">
              <w:rPr>
                <w:rFonts w:ascii="Arial" w:hAnsi="Arial" w:cs="Arial"/>
                <w:sz w:val="20"/>
                <w:szCs w:val="20"/>
                <w:lang w:val="sl-SI"/>
              </w:rPr>
              <w:t>36</w:t>
            </w:r>
          </w:p>
        </w:tc>
        <w:tc>
          <w:tcPr>
            <w:tcW w:w="3071" w:type="dxa"/>
          </w:tcPr>
          <w:p w:rsidR="000E148F" w:rsidRPr="009D0ADE" w:rsidRDefault="000E148F" w:rsidP="009D0ADE">
            <w:pPr>
              <w:spacing w:before="240"/>
              <w:jc w:val="both"/>
              <w:rPr>
                <w:rFonts w:ascii="Arial" w:hAnsi="Arial" w:cs="Arial"/>
                <w:sz w:val="20"/>
                <w:szCs w:val="20"/>
                <w:lang w:val="sl-SI"/>
              </w:rPr>
            </w:pPr>
            <w:r w:rsidRPr="009D0ADE">
              <w:rPr>
                <w:rFonts w:ascii="Arial" w:hAnsi="Arial" w:cs="Arial"/>
                <w:sz w:val="20"/>
                <w:szCs w:val="20"/>
                <w:lang w:val="sl-SI"/>
              </w:rPr>
              <w:t>24</w:t>
            </w:r>
          </w:p>
        </w:tc>
      </w:tr>
    </w:tbl>
    <w:p w:rsidR="009204F8" w:rsidRPr="009D0ADE" w:rsidRDefault="000E148F" w:rsidP="009D0ADE">
      <w:pPr>
        <w:spacing w:before="240"/>
        <w:jc w:val="both"/>
        <w:rPr>
          <w:rFonts w:ascii="Arial" w:hAnsi="Arial" w:cs="Arial"/>
          <w:sz w:val="20"/>
          <w:szCs w:val="20"/>
          <w:lang w:val="sl-SI"/>
        </w:rPr>
      </w:pPr>
      <w:r w:rsidRPr="009D0ADE">
        <w:rPr>
          <w:rFonts w:ascii="Arial" w:hAnsi="Arial" w:cs="Arial"/>
          <w:sz w:val="20"/>
          <w:szCs w:val="20"/>
          <w:lang w:val="sl-SI"/>
        </w:rPr>
        <w:t>Vir: ECB</w:t>
      </w:r>
    </w:p>
    <w:p w:rsidR="00234C1E" w:rsidRPr="00B35826" w:rsidRDefault="00234C1E" w:rsidP="009D0ADE">
      <w:pPr>
        <w:spacing w:before="240"/>
        <w:jc w:val="both"/>
        <w:rPr>
          <w:rFonts w:ascii="Arial" w:hAnsi="Arial" w:cs="Arial"/>
          <w:b/>
          <w:sz w:val="20"/>
          <w:szCs w:val="20"/>
          <w:lang w:val="sl-SI"/>
        </w:rPr>
      </w:pPr>
      <w:r w:rsidRPr="00B35826">
        <w:rPr>
          <w:rFonts w:ascii="Arial" w:hAnsi="Arial" w:cs="Arial"/>
          <w:b/>
          <w:sz w:val="20"/>
          <w:szCs w:val="20"/>
          <w:lang w:val="sl-SI"/>
        </w:rPr>
        <w:t>Koristne informacije:</w:t>
      </w:r>
    </w:p>
    <w:p w:rsidR="00234C1E" w:rsidRPr="00B35826" w:rsidRDefault="00234C1E" w:rsidP="00B35826">
      <w:pPr>
        <w:pStyle w:val="Odstavekseznama"/>
        <w:numPr>
          <w:ilvl w:val="0"/>
          <w:numId w:val="1"/>
        </w:numPr>
        <w:spacing w:before="240"/>
        <w:jc w:val="both"/>
        <w:rPr>
          <w:rFonts w:ascii="Arial" w:hAnsi="Arial" w:cs="Arial"/>
          <w:sz w:val="20"/>
          <w:szCs w:val="20"/>
          <w:lang w:val="sl-SI"/>
        </w:rPr>
      </w:pPr>
      <w:r w:rsidRPr="00B35826">
        <w:rPr>
          <w:rFonts w:ascii="Arial" w:hAnsi="Arial" w:cs="Arial"/>
          <w:sz w:val="20"/>
          <w:szCs w:val="20"/>
          <w:lang w:val="sl-SI"/>
        </w:rPr>
        <w:t>Poročilo ECB:</w:t>
      </w:r>
    </w:p>
    <w:p w:rsidR="00234C1E" w:rsidRPr="00B35826" w:rsidRDefault="00234C1E" w:rsidP="00B35826">
      <w:pPr>
        <w:pStyle w:val="Odstavekseznama"/>
        <w:numPr>
          <w:ilvl w:val="0"/>
          <w:numId w:val="1"/>
        </w:numPr>
        <w:spacing w:before="240"/>
        <w:jc w:val="both"/>
        <w:rPr>
          <w:rFonts w:ascii="Arial" w:hAnsi="Arial" w:cs="Arial"/>
          <w:sz w:val="20"/>
          <w:szCs w:val="20"/>
          <w:lang w:val="sl-SI"/>
        </w:rPr>
      </w:pPr>
      <w:hyperlink r:id="rId6" w:history="1">
        <w:r w:rsidRPr="00B35826">
          <w:rPr>
            <w:rStyle w:val="Hiperpovezava"/>
            <w:rFonts w:ascii="Arial" w:hAnsi="Arial" w:cs="Arial"/>
            <w:sz w:val="20"/>
            <w:szCs w:val="20"/>
            <w:lang w:val="sl-SI"/>
          </w:rPr>
          <w:t>https://www.ecb.europa.eu/pub/pdf/fsr/ecb.fsr201911~facad0251f.en.pdf</w:t>
        </w:r>
      </w:hyperlink>
    </w:p>
    <w:p w:rsidR="00B35826" w:rsidRDefault="00B35826" w:rsidP="009D0ADE">
      <w:pPr>
        <w:jc w:val="both"/>
        <w:rPr>
          <w:rFonts w:ascii="Arial" w:hAnsi="Arial" w:cs="Arial"/>
          <w:sz w:val="20"/>
          <w:szCs w:val="20"/>
          <w:lang w:val="sl-SI"/>
        </w:rPr>
      </w:pPr>
    </w:p>
    <w:p w:rsidR="00234C1E" w:rsidRPr="009D0ADE" w:rsidRDefault="00234C1E" w:rsidP="009D0ADE">
      <w:pPr>
        <w:jc w:val="both"/>
        <w:rPr>
          <w:rFonts w:ascii="Arial" w:hAnsi="Arial" w:cs="Arial"/>
          <w:sz w:val="20"/>
          <w:szCs w:val="20"/>
          <w:lang w:val="sl-SI"/>
        </w:rPr>
      </w:pPr>
      <w:r w:rsidRPr="009D0ADE">
        <w:rPr>
          <w:rFonts w:ascii="Arial" w:hAnsi="Arial" w:cs="Arial"/>
          <w:sz w:val="20"/>
          <w:szCs w:val="20"/>
          <w:lang w:val="sl-SI"/>
        </w:rPr>
        <w:t>Pripravila:</w:t>
      </w:r>
    </w:p>
    <w:p w:rsidR="00234C1E" w:rsidRPr="009D0ADE" w:rsidRDefault="00234C1E" w:rsidP="009D0ADE">
      <w:pPr>
        <w:jc w:val="both"/>
        <w:rPr>
          <w:rFonts w:ascii="Arial" w:hAnsi="Arial" w:cs="Arial"/>
          <w:sz w:val="20"/>
          <w:szCs w:val="20"/>
          <w:lang w:val="sl-SI"/>
        </w:rPr>
      </w:pPr>
      <w:r w:rsidRPr="009D0ADE">
        <w:rPr>
          <w:rFonts w:ascii="Arial" w:hAnsi="Arial" w:cs="Arial"/>
          <w:sz w:val="20"/>
          <w:szCs w:val="20"/>
          <w:lang w:val="sl-SI"/>
        </w:rPr>
        <w:t>Darja Kocbek</w:t>
      </w:r>
    </w:p>
    <w:p w:rsidR="00234C1E" w:rsidRPr="009204F8" w:rsidRDefault="00234C1E" w:rsidP="009D0ADE">
      <w:pPr>
        <w:rPr>
          <w:lang w:val="sl-SI"/>
        </w:rPr>
      </w:pPr>
    </w:p>
    <w:p w:rsidR="006A48AA" w:rsidRPr="009204F8" w:rsidRDefault="006A48AA" w:rsidP="009204F8">
      <w:pPr>
        <w:rPr>
          <w:lang w:val="sl-SI"/>
        </w:rPr>
      </w:pPr>
    </w:p>
    <w:sectPr w:rsidR="006A48AA" w:rsidRPr="009204F8" w:rsidSect="006A48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C95A91"/>
    <w:multiLevelType w:val="hybridMultilevel"/>
    <w:tmpl w:val="8DC8AB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4769"/>
    <w:rsid w:val="00083714"/>
    <w:rsid w:val="000E148F"/>
    <w:rsid w:val="00234C1E"/>
    <w:rsid w:val="005C4769"/>
    <w:rsid w:val="006A48AA"/>
    <w:rsid w:val="007B19A8"/>
    <w:rsid w:val="009204F8"/>
    <w:rsid w:val="009D0ADE"/>
    <w:rsid w:val="00B35826"/>
    <w:rsid w:val="00CA10B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C4769"/>
    <w:pPr>
      <w:spacing w:after="0" w:line="240" w:lineRule="auto"/>
    </w:pPr>
    <w:rPr>
      <w:rFonts w:ascii="Calibri" w:eastAsia="Times New Roman" w:hAnsi="Calibri" w:cs="Times New Roman"/>
      <w:sz w:val="24"/>
      <w:szCs w:val="24"/>
      <w:lang w:val="en-US" w:bidi="en-US"/>
    </w:rPr>
  </w:style>
  <w:style w:type="paragraph" w:styleId="Naslov2">
    <w:name w:val="heading 2"/>
    <w:basedOn w:val="Navaden"/>
    <w:next w:val="Navaden"/>
    <w:link w:val="Naslov2Znak"/>
    <w:uiPriority w:val="9"/>
    <w:semiHidden/>
    <w:unhideWhenUsed/>
    <w:qFormat/>
    <w:rsid w:val="00083714"/>
    <w:pPr>
      <w:keepNext/>
      <w:keepLines/>
      <w:spacing w:before="200" w:line="276" w:lineRule="auto"/>
      <w:outlineLvl w:val="1"/>
    </w:pPr>
    <w:rPr>
      <w:rFonts w:asciiTheme="majorHAnsi" w:eastAsiaTheme="majorEastAsia" w:hAnsiTheme="majorHAnsi" w:cstheme="majorBidi"/>
      <w:b/>
      <w:bCs/>
      <w:color w:val="4F81BD" w:themeColor="accent1"/>
      <w:sz w:val="26"/>
      <w:szCs w:val="26"/>
      <w:lang w:val="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E148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148F"/>
    <w:rPr>
      <w:rFonts w:ascii="Tahoma" w:eastAsia="Times New Roman" w:hAnsi="Tahoma" w:cs="Tahoma"/>
      <w:sz w:val="16"/>
      <w:szCs w:val="16"/>
      <w:lang w:val="en-US" w:bidi="en-US"/>
    </w:rPr>
  </w:style>
  <w:style w:type="table" w:styleId="Tabela-mrea">
    <w:name w:val="Table Grid"/>
    <w:basedOn w:val="Navadnatabela"/>
    <w:uiPriority w:val="59"/>
    <w:rsid w:val="000E14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234C1E"/>
    <w:rPr>
      <w:color w:val="0000FF" w:themeColor="hyperlink"/>
      <w:u w:val="single"/>
    </w:rPr>
  </w:style>
  <w:style w:type="paragraph" w:styleId="Odstavekseznama">
    <w:name w:val="List Paragraph"/>
    <w:basedOn w:val="Navaden"/>
    <w:uiPriority w:val="34"/>
    <w:qFormat/>
    <w:rsid w:val="00B35826"/>
    <w:pPr>
      <w:ind w:left="720"/>
      <w:contextualSpacing/>
    </w:pPr>
  </w:style>
  <w:style w:type="character" w:customStyle="1" w:styleId="Naslov2Znak">
    <w:name w:val="Naslov 2 Znak"/>
    <w:basedOn w:val="Privzetapisavaodstavka"/>
    <w:link w:val="Naslov2"/>
    <w:uiPriority w:val="9"/>
    <w:semiHidden/>
    <w:rsid w:val="0008371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b.europa.eu/pub/pdf/fsr/ecb.fsr201911~facad0251f.en.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278</Words>
  <Characters>1586</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2019-11-20T10:00:00Z</dcterms:created>
  <dcterms:modified xsi:type="dcterms:W3CDTF">2019-11-20T10:48:00Z</dcterms:modified>
</cp:coreProperties>
</file>