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BC" w:rsidRPr="00467345" w:rsidRDefault="00BB6BBC" w:rsidP="00BB6BB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6BBC" w:rsidRDefault="00BB6BBC" w:rsidP="00BB6BBC">
      <w:pPr>
        <w:pStyle w:val="Naslov2"/>
        <w:tabs>
          <w:tab w:val="left" w:pos="3120"/>
        </w:tabs>
        <w:spacing w:before="0"/>
        <w:jc w:val="center"/>
        <w:rPr>
          <w:sz w:val="22"/>
        </w:rPr>
      </w:pPr>
      <w:r w:rsidRPr="00083714">
        <w:rPr>
          <w:sz w:val="22"/>
        </w:rPr>
        <w:t>Slovensko gospodarsko in raziskovalno združenje, Bruselj</w:t>
      </w:r>
    </w:p>
    <w:p w:rsidR="00BB6BBC" w:rsidRPr="00083714" w:rsidRDefault="00BB6BBC" w:rsidP="00BB6BBC">
      <w:pPr>
        <w:pStyle w:val="Naslov2"/>
        <w:tabs>
          <w:tab w:val="left" w:pos="3120"/>
        </w:tabs>
        <w:spacing w:before="0"/>
        <w:jc w:val="center"/>
        <w:rPr>
          <w:b w:val="0"/>
          <w:bCs w:val="0"/>
          <w:i/>
          <w:iCs/>
          <w:sz w:val="22"/>
        </w:rPr>
      </w:pPr>
    </w:p>
    <w:p w:rsidR="00BB6BBC" w:rsidRPr="00083714" w:rsidRDefault="00BB6BBC" w:rsidP="00BB6BBC">
      <w:pPr>
        <w:pBdr>
          <w:bottom w:val="single" w:sz="6" w:space="1" w:color="auto"/>
        </w:pBdr>
        <w:tabs>
          <w:tab w:val="left" w:pos="3120"/>
        </w:tabs>
        <w:rPr>
          <w:sz w:val="16"/>
          <w:szCs w:val="16"/>
        </w:rPr>
      </w:pPr>
    </w:p>
    <w:p w:rsidR="00BB6BBC" w:rsidRDefault="00BB6BBC" w:rsidP="00BB6BBC">
      <w:pPr>
        <w:tabs>
          <w:tab w:val="left" w:pos="3120"/>
        </w:tabs>
        <w:rPr>
          <w:b/>
        </w:rPr>
      </w:pPr>
      <w:r w:rsidRPr="00083714">
        <w:rPr>
          <w:b/>
        </w:rPr>
        <w:tab/>
      </w:r>
    </w:p>
    <w:p w:rsidR="00BB6BBC" w:rsidRDefault="00BB6BBC" w:rsidP="00BB6BBC">
      <w:pPr>
        <w:tabs>
          <w:tab w:val="left" w:pos="3120"/>
        </w:tabs>
        <w:jc w:val="center"/>
        <w:rPr>
          <w:b/>
        </w:rPr>
      </w:pPr>
      <w:r>
        <w:rPr>
          <w:b/>
        </w:rPr>
        <w:t xml:space="preserve">Občasna informacija članom 171 </w:t>
      </w:r>
      <w:r w:rsidRPr="00083714">
        <w:rPr>
          <w:b/>
        </w:rPr>
        <w:t>– 20</w:t>
      </w:r>
      <w:r>
        <w:rPr>
          <w:b/>
        </w:rPr>
        <w:t>22</w:t>
      </w:r>
    </w:p>
    <w:p w:rsidR="00BB6BBC" w:rsidRPr="0002310E" w:rsidRDefault="00BB6BBC" w:rsidP="00BB6BBC">
      <w:pPr>
        <w:tabs>
          <w:tab w:val="left" w:pos="3120"/>
        </w:tabs>
        <w:jc w:val="center"/>
        <w:rPr>
          <w:b/>
        </w:rPr>
      </w:pPr>
      <w:r>
        <w:rPr>
          <w:b/>
        </w:rPr>
        <w:t xml:space="preserve">07. november </w:t>
      </w:r>
      <w:r w:rsidRPr="00083714">
        <w:rPr>
          <w:b/>
        </w:rPr>
        <w:t xml:space="preserve"> 20</w:t>
      </w:r>
      <w:r>
        <w:rPr>
          <w:b/>
        </w:rPr>
        <w:t>22</w:t>
      </w:r>
    </w:p>
    <w:p w:rsidR="00BB6BBC" w:rsidRDefault="00BB6BBC" w:rsidP="00BB6BBC">
      <w:pPr>
        <w:jc w:val="center"/>
        <w:rPr>
          <w:b/>
          <w:color w:val="993300"/>
          <w:sz w:val="32"/>
          <w:szCs w:val="32"/>
        </w:rPr>
      </w:pPr>
    </w:p>
    <w:p w:rsidR="00BB6BBC" w:rsidRDefault="00BB6BBC" w:rsidP="00BB6BBC">
      <w:pPr>
        <w:jc w:val="center"/>
        <w:rPr>
          <w:rFonts w:ascii="Arial" w:hAnsi="Arial"/>
          <w:b/>
          <w:i/>
        </w:rPr>
      </w:pPr>
      <w:r>
        <w:rPr>
          <w:b/>
          <w:color w:val="993300"/>
          <w:sz w:val="32"/>
          <w:szCs w:val="32"/>
        </w:rPr>
        <w:t>Sprejeta je sprememba kriznega okvira za državno pomoč</w:t>
      </w:r>
    </w:p>
    <w:p w:rsidR="00BB6BBC" w:rsidRDefault="00BB6BBC" w:rsidP="000259D3">
      <w:pPr>
        <w:jc w:val="both"/>
        <w:rPr>
          <w:rFonts w:ascii="Arial" w:hAnsi="Arial"/>
          <w:b/>
          <w:i/>
          <w:sz w:val="22"/>
          <w:szCs w:val="22"/>
        </w:rPr>
      </w:pPr>
    </w:p>
    <w:p w:rsidR="00900826" w:rsidRDefault="00900826" w:rsidP="000259D3">
      <w:pPr>
        <w:jc w:val="both"/>
        <w:rPr>
          <w:rFonts w:ascii="Arial" w:hAnsi="Arial"/>
          <w:b/>
          <w:i/>
          <w:sz w:val="22"/>
          <w:szCs w:val="22"/>
        </w:rPr>
      </w:pPr>
      <w:r w:rsidRPr="000259D3">
        <w:rPr>
          <w:rFonts w:ascii="Arial" w:hAnsi="Arial"/>
          <w:b/>
          <w:i/>
          <w:sz w:val="22"/>
          <w:szCs w:val="22"/>
        </w:rPr>
        <w:t xml:space="preserve">Evropska komisija je sprejela spremembo začasnega kriznega okvira za državno pomoč, ki državam članicam omogoča, da še naprej uporabljajo prožnost, predvideno v pravilih o državni pomoči, za podporo gospodarstvu zaradi vojne v Ukrajini. Vse ukrepe iz začasnega kriznega okvira </w:t>
      </w:r>
      <w:r w:rsidR="000259D3">
        <w:rPr>
          <w:rFonts w:ascii="Arial" w:hAnsi="Arial"/>
          <w:b/>
          <w:i/>
          <w:sz w:val="22"/>
          <w:szCs w:val="22"/>
        </w:rPr>
        <w:t>je</w:t>
      </w:r>
      <w:r w:rsidRPr="000259D3">
        <w:rPr>
          <w:rFonts w:ascii="Arial" w:hAnsi="Arial"/>
          <w:b/>
          <w:i/>
          <w:sz w:val="22"/>
          <w:szCs w:val="22"/>
        </w:rPr>
        <w:t xml:space="preserve"> podaljšala do 31. decembra 2023. Poleg tega se je odločila, da do 31. decembra 2023 podaljša možnost odobritve ukrepov za podporo naložbam za trajnostno okrevanje na podlagi začasnega okvira za državno pomoč zaradi izbruha </w:t>
      </w:r>
      <w:proofErr w:type="spellStart"/>
      <w:r w:rsidRPr="000259D3">
        <w:rPr>
          <w:rFonts w:ascii="Arial" w:hAnsi="Arial"/>
          <w:b/>
          <w:i/>
          <w:sz w:val="22"/>
          <w:szCs w:val="22"/>
        </w:rPr>
        <w:t>covida</w:t>
      </w:r>
      <w:proofErr w:type="spellEnd"/>
      <w:r w:rsidRPr="000259D3">
        <w:rPr>
          <w:rFonts w:ascii="Arial" w:hAnsi="Arial"/>
          <w:b/>
          <w:i/>
          <w:sz w:val="22"/>
          <w:szCs w:val="22"/>
        </w:rPr>
        <w:t xml:space="preserve">-19. </w:t>
      </w:r>
    </w:p>
    <w:p w:rsidR="000033FF" w:rsidRPr="000259D3" w:rsidRDefault="000033FF" w:rsidP="000259D3">
      <w:pPr>
        <w:jc w:val="both"/>
        <w:rPr>
          <w:rFonts w:ascii="Arial" w:hAnsi="Arial"/>
          <w:sz w:val="20"/>
          <w:szCs w:val="20"/>
        </w:rPr>
      </w:pPr>
    </w:p>
    <w:p w:rsidR="007308DA" w:rsidRPr="000033FF" w:rsidRDefault="00BD4A7B" w:rsidP="000259D3">
      <w:pPr>
        <w:jc w:val="both"/>
        <w:rPr>
          <w:rFonts w:ascii="Arial" w:hAnsi="Arial"/>
          <w:b/>
          <w:sz w:val="20"/>
          <w:szCs w:val="20"/>
        </w:rPr>
      </w:pPr>
      <w:r w:rsidRPr="000033FF">
        <w:rPr>
          <w:rFonts w:ascii="Arial" w:hAnsi="Arial"/>
          <w:b/>
          <w:sz w:val="20"/>
          <w:szCs w:val="20"/>
        </w:rPr>
        <w:t>Tabela 1: Spremembe začasnega kriznega okvira za državno pomoč zaradi vojne v Ukrajini</w:t>
      </w:r>
    </w:p>
    <w:p w:rsidR="00BD4A7B" w:rsidRPr="000259D3" w:rsidRDefault="00BD4A7B" w:rsidP="000259D3">
      <w:pPr>
        <w:jc w:val="both"/>
        <w:rPr>
          <w:rFonts w:ascii="Arial" w:hAnsi="Arial"/>
          <w:sz w:val="20"/>
          <w:szCs w:val="20"/>
        </w:rPr>
      </w:pPr>
    </w:p>
    <w:tbl>
      <w:tblPr>
        <w:tblStyle w:val="Tabela-mrea"/>
        <w:tblW w:w="0" w:type="auto"/>
        <w:tblLook w:val="04A0"/>
      </w:tblPr>
      <w:tblGrid>
        <w:gridCol w:w="4606"/>
        <w:gridCol w:w="4606"/>
      </w:tblGrid>
      <w:tr w:rsidR="001C2F88" w:rsidRPr="000259D3" w:rsidTr="001C2F88">
        <w:tc>
          <w:tcPr>
            <w:tcW w:w="4606" w:type="dxa"/>
          </w:tcPr>
          <w:p w:rsidR="001C2F88" w:rsidRPr="00BB6BBC" w:rsidRDefault="001C2F88" w:rsidP="000259D3">
            <w:pPr>
              <w:jc w:val="both"/>
              <w:rPr>
                <w:rFonts w:ascii="Arial" w:hAnsi="Arial"/>
                <w:b/>
                <w:sz w:val="20"/>
                <w:szCs w:val="20"/>
              </w:rPr>
            </w:pPr>
            <w:r w:rsidRPr="00BB6BBC">
              <w:rPr>
                <w:rFonts w:ascii="Arial" w:hAnsi="Arial"/>
                <w:b/>
                <w:sz w:val="20"/>
                <w:szCs w:val="20"/>
              </w:rPr>
              <w:t>Sprememba</w:t>
            </w:r>
          </w:p>
        </w:tc>
        <w:tc>
          <w:tcPr>
            <w:tcW w:w="4606" w:type="dxa"/>
          </w:tcPr>
          <w:p w:rsidR="001C2F88" w:rsidRPr="00BB6BBC" w:rsidRDefault="001C2F88" w:rsidP="000259D3">
            <w:pPr>
              <w:jc w:val="both"/>
              <w:rPr>
                <w:rFonts w:ascii="Arial" w:hAnsi="Arial"/>
                <w:b/>
                <w:sz w:val="20"/>
                <w:szCs w:val="20"/>
              </w:rPr>
            </w:pPr>
            <w:r w:rsidRPr="00BB6BBC">
              <w:rPr>
                <w:rFonts w:ascii="Arial" w:hAnsi="Arial"/>
                <w:b/>
                <w:sz w:val="20"/>
                <w:szCs w:val="20"/>
              </w:rPr>
              <w:t>Kratek opis</w:t>
            </w:r>
            <w:r w:rsidR="000033FF" w:rsidRPr="00BB6BBC">
              <w:rPr>
                <w:rFonts w:ascii="Arial" w:hAnsi="Arial"/>
                <w:b/>
                <w:sz w:val="20"/>
                <w:szCs w:val="20"/>
              </w:rPr>
              <w:t xml:space="preserve"> sprememb</w:t>
            </w:r>
          </w:p>
        </w:tc>
      </w:tr>
      <w:tr w:rsidR="001C2F88" w:rsidRPr="000259D3" w:rsidTr="001C2F88">
        <w:tc>
          <w:tcPr>
            <w:tcW w:w="4606" w:type="dxa"/>
          </w:tcPr>
          <w:p w:rsidR="001C2F88" w:rsidRPr="00BB6BBC" w:rsidRDefault="001C2F88" w:rsidP="000259D3">
            <w:pPr>
              <w:jc w:val="both"/>
              <w:rPr>
                <w:rFonts w:ascii="Arial" w:hAnsi="Arial"/>
                <w:b/>
                <w:sz w:val="20"/>
                <w:szCs w:val="20"/>
              </w:rPr>
            </w:pPr>
            <w:r w:rsidRPr="00BB6BBC">
              <w:rPr>
                <w:rFonts w:ascii="Arial" w:hAnsi="Arial"/>
                <w:b/>
                <w:sz w:val="20"/>
                <w:szCs w:val="20"/>
              </w:rPr>
              <w:t>Zvišanje zgornje meje, določene za omejene zneske pomoči</w:t>
            </w:r>
          </w:p>
        </w:tc>
        <w:tc>
          <w:tcPr>
            <w:tcW w:w="4606" w:type="dxa"/>
          </w:tcPr>
          <w:p w:rsidR="001C2F88" w:rsidRPr="00BB6BBC" w:rsidRDefault="001C2F88" w:rsidP="000259D3">
            <w:pPr>
              <w:jc w:val="both"/>
              <w:rPr>
                <w:rFonts w:ascii="Arial" w:hAnsi="Arial"/>
                <w:sz w:val="20"/>
                <w:szCs w:val="20"/>
              </w:rPr>
            </w:pPr>
            <w:r w:rsidRPr="00BB6BBC">
              <w:rPr>
                <w:rFonts w:ascii="Arial" w:hAnsi="Arial"/>
                <w:sz w:val="20"/>
                <w:szCs w:val="20"/>
              </w:rPr>
              <w:t>Novi mejni zneski so:</w:t>
            </w:r>
          </w:p>
          <w:p w:rsidR="001C2F88" w:rsidRPr="00BB6BBC" w:rsidRDefault="001C2F88" w:rsidP="000259D3">
            <w:pPr>
              <w:jc w:val="both"/>
              <w:rPr>
                <w:rFonts w:ascii="Arial" w:hAnsi="Arial"/>
                <w:sz w:val="20"/>
                <w:szCs w:val="20"/>
              </w:rPr>
            </w:pPr>
            <w:r w:rsidRPr="00BB6BBC">
              <w:rPr>
                <w:rFonts w:ascii="Arial" w:hAnsi="Arial"/>
                <w:sz w:val="20"/>
                <w:szCs w:val="20"/>
              </w:rPr>
              <w:t>do 250 000 evrov za podjetja, ki delujejo v kmetijskem sektorju</w:t>
            </w:r>
          </w:p>
          <w:p w:rsidR="001C2F88" w:rsidRPr="00BB6BBC" w:rsidRDefault="001C2F88" w:rsidP="000259D3">
            <w:pPr>
              <w:jc w:val="both"/>
              <w:rPr>
                <w:rFonts w:ascii="Arial" w:hAnsi="Arial"/>
                <w:sz w:val="20"/>
                <w:szCs w:val="20"/>
              </w:rPr>
            </w:pPr>
            <w:r w:rsidRPr="00BB6BBC">
              <w:rPr>
                <w:rFonts w:ascii="Arial" w:hAnsi="Arial"/>
                <w:sz w:val="20"/>
                <w:szCs w:val="20"/>
              </w:rPr>
              <w:t>do 300 000 evrov za podjetja, ki delujejo v sektorju ribištva in akvakulture</w:t>
            </w:r>
          </w:p>
          <w:p w:rsidR="001C2F88" w:rsidRPr="00BB6BBC" w:rsidRDefault="001C2F88" w:rsidP="000259D3">
            <w:pPr>
              <w:jc w:val="both"/>
              <w:rPr>
                <w:rFonts w:ascii="Arial" w:hAnsi="Arial"/>
                <w:sz w:val="20"/>
                <w:szCs w:val="20"/>
              </w:rPr>
            </w:pPr>
            <w:r w:rsidRPr="00BB6BBC">
              <w:rPr>
                <w:rFonts w:ascii="Arial" w:hAnsi="Arial"/>
                <w:sz w:val="20"/>
                <w:szCs w:val="20"/>
              </w:rPr>
              <w:t>do 2 milijonov evrov za podjetja, dejavna v vseh drugih sektorjih</w:t>
            </w:r>
          </w:p>
        </w:tc>
      </w:tr>
      <w:tr w:rsidR="001C2F88" w:rsidRPr="000259D3" w:rsidTr="001C2F88">
        <w:tc>
          <w:tcPr>
            <w:tcW w:w="4606" w:type="dxa"/>
          </w:tcPr>
          <w:p w:rsidR="001C2F88" w:rsidRPr="00BB6BBC" w:rsidRDefault="001C2F88" w:rsidP="000259D3">
            <w:pPr>
              <w:jc w:val="both"/>
              <w:rPr>
                <w:rFonts w:ascii="Arial" w:hAnsi="Arial"/>
                <w:b/>
                <w:sz w:val="20"/>
                <w:szCs w:val="20"/>
              </w:rPr>
            </w:pPr>
            <w:r w:rsidRPr="00BB6BBC">
              <w:rPr>
                <w:rFonts w:ascii="Arial" w:hAnsi="Arial"/>
                <w:b/>
                <w:sz w:val="20"/>
                <w:szCs w:val="20"/>
              </w:rPr>
              <w:t>Uvedena je dodatna prožnost za likvidnostno podporo energetskim podjetjem za njihove dejavnosti trgovanja</w:t>
            </w:r>
          </w:p>
        </w:tc>
        <w:tc>
          <w:tcPr>
            <w:tcW w:w="4606" w:type="dxa"/>
          </w:tcPr>
          <w:p w:rsidR="001C2F88" w:rsidRPr="00BB6BBC" w:rsidRDefault="001C2F88" w:rsidP="000259D3">
            <w:pPr>
              <w:jc w:val="both"/>
              <w:rPr>
                <w:rFonts w:ascii="Arial" w:hAnsi="Arial"/>
                <w:sz w:val="20"/>
                <w:szCs w:val="20"/>
              </w:rPr>
            </w:pPr>
            <w:r w:rsidRPr="00BB6BBC">
              <w:rPr>
                <w:rFonts w:ascii="Arial" w:hAnsi="Arial"/>
                <w:sz w:val="20"/>
                <w:szCs w:val="20"/>
              </w:rPr>
              <w:t>V izjemnih primerih in ob upoštevanju strogih zaščitnih ukrepov lahko države članice zagotovijo državna jamstva, ki presegajo 90-odstotno kritje, če se zagotovijo centralnim nasprotnim strankam ali klirinškim članom kot finančno zavarovanje.</w:t>
            </w:r>
          </w:p>
        </w:tc>
      </w:tr>
      <w:tr w:rsidR="001C2F88" w:rsidRPr="000259D3" w:rsidTr="001C2F88">
        <w:tc>
          <w:tcPr>
            <w:tcW w:w="4606" w:type="dxa"/>
          </w:tcPr>
          <w:p w:rsidR="001C2F88" w:rsidRPr="00BB6BBC" w:rsidRDefault="001C2F88" w:rsidP="000259D3">
            <w:pPr>
              <w:jc w:val="both"/>
              <w:rPr>
                <w:rFonts w:ascii="Arial" w:hAnsi="Arial"/>
                <w:b/>
                <w:sz w:val="20"/>
                <w:szCs w:val="20"/>
              </w:rPr>
            </w:pPr>
            <w:r w:rsidRPr="00BB6BBC">
              <w:rPr>
                <w:rFonts w:ascii="Arial" w:hAnsi="Arial"/>
                <w:b/>
                <w:sz w:val="20"/>
                <w:szCs w:val="20"/>
              </w:rPr>
              <w:t>Povečana je prožnost in možnosti za podporo podjetjem, ki jih prizadenejo naraščajoči stroški energije</w:t>
            </w:r>
          </w:p>
        </w:tc>
        <w:tc>
          <w:tcPr>
            <w:tcW w:w="4606" w:type="dxa"/>
          </w:tcPr>
          <w:p w:rsidR="001C2F88" w:rsidRPr="00BB6BBC" w:rsidRDefault="001C2F88" w:rsidP="000259D3">
            <w:pPr>
              <w:jc w:val="both"/>
              <w:rPr>
                <w:rFonts w:ascii="Arial" w:hAnsi="Arial"/>
                <w:sz w:val="20"/>
                <w:szCs w:val="20"/>
              </w:rPr>
            </w:pPr>
            <w:r w:rsidRPr="00BB6BBC">
              <w:rPr>
                <w:rFonts w:ascii="Arial" w:hAnsi="Arial"/>
                <w:sz w:val="20"/>
                <w:szCs w:val="20"/>
              </w:rPr>
              <w:t xml:space="preserve">Države članice bodo lahko izračunale podporo na podlagi pretekle ali sedanje porabe, pri čemer morajo upoštevati, da je treba ohraniti tržne spodbude za zmanjšanje porabe energije in zagotoviti nadaljevanje gospodarskih dejavnosti. Poleg tega lahko države članice zagotovijo prožnejšo podporo, vključno za posebej prizadete energetsko intenzivne sektorje, ob upoštevanju zaščitnih ukrepov za preprečevanje prekomernih nadomestil. Za podjetja, ki prejmejo večje zneske pomoči, začasni krizni okvir določa zaveze, da bi podjetja šla po poti zmanjšanja </w:t>
            </w:r>
            <w:proofErr w:type="spellStart"/>
            <w:r w:rsidRPr="00BB6BBC">
              <w:rPr>
                <w:rFonts w:ascii="Arial" w:hAnsi="Arial"/>
                <w:sz w:val="20"/>
                <w:szCs w:val="20"/>
              </w:rPr>
              <w:t>ogljičnega</w:t>
            </w:r>
            <w:proofErr w:type="spellEnd"/>
            <w:r w:rsidRPr="00BB6BBC">
              <w:rPr>
                <w:rFonts w:ascii="Arial" w:hAnsi="Arial"/>
                <w:sz w:val="20"/>
                <w:szCs w:val="20"/>
              </w:rPr>
              <w:t xml:space="preserve"> odtisa porabe energije in izvajanja ukrepov za energijsko učinkovitost.</w:t>
            </w:r>
          </w:p>
        </w:tc>
      </w:tr>
      <w:tr w:rsidR="001C2F88" w:rsidRPr="000259D3" w:rsidTr="001C2F88">
        <w:tc>
          <w:tcPr>
            <w:tcW w:w="4606" w:type="dxa"/>
          </w:tcPr>
          <w:p w:rsidR="00BB6BBC" w:rsidRDefault="00BB6BBC" w:rsidP="000259D3">
            <w:pPr>
              <w:jc w:val="both"/>
              <w:rPr>
                <w:rFonts w:ascii="Arial" w:hAnsi="Arial"/>
                <w:b/>
                <w:sz w:val="20"/>
                <w:szCs w:val="20"/>
              </w:rPr>
            </w:pPr>
          </w:p>
          <w:p w:rsidR="001C2F88" w:rsidRPr="00BB6BBC" w:rsidRDefault="001C2F88" w:rsidP="000259D3">
            <w:pPr>
              <w:jc w:val="both"/>
              <w:rPr>
                <w:rFonts w:ascii="Arial" w:hAnsi="Arial"/>
                <w:b/>
                <w:sz w:val="20"/>
                <w:szCs w:val="20"/>
              </w:rPr>
            </w:pPr>
            <w:r w:rsidRPr="00BB6BBC">
              <w:rPr>
                <w:rFonts w:ascii="Arial" w:hAnsi="Arial"/>
                <w:b/>
                <w:sz w:val="20"/>
                <w:szCs w:val="20"/>
              </w:rPr>
              <w:t>Uvedeni so novi ukrepi za podporo zmanjšanju odjema električne energije</w:t>
            </w:r>
          </w:p>
        </w:tc>
        <w:tc>
          <w:tcPr>
            <w:tcW w:w="4606" w:type="dxa"/>
          </w:tcPr>
          <w:p w:rsidR="00BB6BBC" w:rsidRDefault="00BB6BBC" w:rsidP="000259D3">
            <w:pPr>
              <w:jc w:val="both"/>
              <w:rPr>
                <w:rFonts w:ascii="Arial" w:hAnsi="Arial"/>
                <w:sz w:val="20"/>
                <w:szCs w:val="20"/>
              </w:rPr>
            </w:pPr>
          </w:p>
          <w:p w:rsidR="001C2F88" w:rsidRPr="00BB6BBC" w:rsidRDefault="001C2F88" w:rsidP="000259D3">
            <w:pPr>
              <w:jc w:val="both"/>
              <w:rPr>
                <w:rFonts w:ascii="Arial" w:hAnsi="Arial"/>
                <w:sz w:val="20"/>
                <w:szCs w:val="20"/>
              </w:rPr>
            </w:pPr>
            <w:r w:rsidRPr="00BB6BBC">
              <w:rPr>
                <w:rFonts w:ascii="Arial" w:hAnsi="Arial"/>
                <w:sz w:val="20"/>
                <w:szCs w:val="20"/>
              </w:rPr>
              <w:t>Podlaga je Uredba (EU) 2022/1854</w:t>
            </w:r>
          </w:p>
        </w:tc>
      </w:tr>
      <w:tr w:rsidR="001C2F88" w:rsidRPr="000259D3" w:rsidTr="001C2F88">
        <w:tc>
          <w:tcPr>
            <w:tcW w:w="4606" w:type="dxa"/>
          </w:tcPr>
          <w:p w:rsidR="001C2F88" w:rsidRPr="00BB6BBC" w:rsidRDefault="00BB6BBC" w:rsidP="000259D3">
            <w:pPr>
              <w:jc w:val="both"/>
              <w:rPr>
                <w:rFonts w:ascii="Arial" w:hAnsi="Arial"/>
                <w:b/>
                <w:sz w:val="20"/>
                <w:szCs w:val="20"/>
              </w:rPr>
            </w:pPr>
            <w:r>
              <w:rPr>
                <w:rFonts w:ascii="Arial" w:hAnsi="Arial"/>
                <w:b/>
                <w:sz w:val="20"/>
                <w:szCs w:val="20"/>
              </w:rPr>
              <w:lastRenderedPageBreak/>
              <w:t>Pogoji</w:t>
            </w:r>
            <w:r w:rsidR="001C2F88" w:rsidRPr="00BB6BBC">
              <w:rPr>
                <w:rFonts w:ascii="Arial" w:hAnsi="Arial"/>
                <w:b/>
                <w:sz w:val="20"/>
                <w:szCs w:val="20"/>
              </w:rPr>
              <w:t xml:space="preserve"> za oceno podpornih ukrepov za dokapitalizacijo</w:t>
            </w:r>
          </w:p>
        </w:tc>
        <w:tc>
          <w:tcPr>
            <w:tcW w:w="4606" w:type="dxa"/>
          </w:tcPr>
          <w:p w:rsidR="001C2F88" w:rsidRPr="00BB6BBC" w:rsidRDefault="001C2F88" w:rsidP="000259D3">
            <w:pPr>
              <w:jc w:val="both"/>
              <w:rPr>
                <w:rFonts w:ascii="Arial" w:hAnsi="Arial"/>
                <w:sz w:val="20"/>
                <w:szCs w:val="20"/>
              </w:rPr>
            </w:pPr>
            <w:r w:rsidRPr="00BB6BBC">
              <w:rPr>
                <w:rFonts w:ascii="Arial" w:hAnsi="Arial"/>
                <w:sz w:val="20"/>
                <w:szCs w:val="20"/>
              </w:rPr>
              <w:t>Podpora solventnosti mora biti:</w:t>
            </w:r>
          </w:p>
          <w:p w:rsidR="001C2F88" w:rsidRPr="00BB6BBC" w:rsidRDefault="001C2F88" w:rsidP="00BB6BBC">
            <w:pPr>
              <w:pStyle w:val="Odstavekseznama"/>
              <w:numPr>
                <w:ilvl w:val="0"/>
                <w:numId w:val="4"/>
              </w:numPr>
              <w:jc w:val="both"/>
              <w:rPr>
                <w:rFonts w:ascii="Arial" w:hAnsi="Arial"/>
                <w:sz w:val="20"/>
                <w:szCs w:val="20"/>
              </w:rPr>
            </w:pPr>
            <w:r w:rsidRPr="00BB6BBC">
              <w:rPr>
                <w:rFonts w:ascii="Arial" w:hAnsi="Arial"/>
                <w:sz w:val="20"/>
                <w:szCs w:val="20"/>
              </w:rPr>
              <w:t>potrebna, primerna in sorazmerna</w:t>
            </w:r>
          </w:p>
          <w:p w:rsidR="001C2F88" w:rsidRPr="00BB6BBC" w:rsidRDefault="001C2F88" w:rsidP="00BB6BBC">
            <w:pPr>
              <w:pStyle w:val="Odstavekseznama"/>
              <w:numPr>
                <w:ilvl w:val="0"/>
                <w:numId w:val="4"/>
              </w:numPr>
              <w:jc w:val="both"/>
              <w:rPr>
                <w:rFonts w:ascii="Arial" w:hAnsi="Arial"/>
                <w:sz w:val="20"/>
                <w:szCs w:val="20"/>
              </w:rPr>
            </w:pPr>
            <w:r w:rsidRPr="00BB6BBC">
              <w:rPr>
                <w:rFonts w:ascii="Arial" w:hAnsi="Arial"/>
                <w:sz w:val="20"/>
                <w:szCs w:val="20"/>
              </w:rPr>
              <w:t>vključevati mora ustrezno nadomestilo države</w:t>
            </w:r>
          </w:p>
          <w:p w:rsidR="001C2F88" w:rsidRPr="00BB6BBC" w:rsidRDefault="001C2F88" w:rsidP="00BB6BBC">
            <w:pPr>
              <w:pStyle w:val="Odstavekseznama"/>
              <w:numPr>
                <w:ilvl w:val="0"/>
                <w:numId w:val="4"/>
              </w:numPr>
              <w:jc w:val="both"/>
              <w:rPr>
                <w:rFonts w:ascii="Arial" w:hAnsi="Arial"/>
                <w:sz w:val="20"/>
                <w:szCs w:val="20"/>
              </w:rPr>
            </w:pPr>
            <w:r w:rsidRPr="00BB6BBC">
              <w:rPr>
                <w:rFonts w:ascii="Arial" w:hAnsi="Arial"/>
                <w:sz w:val="20"/>
                <w:szCs w:val="20"/>
              </w:rPr>
              <w:t>vključevati mora ustrezne ukrepe na področju konkurence, da se ohrani učinkovita konkurenca, vključno s prepovedjo plačil dividend in bonusov ter pridobitev.</w:t>
            </w:r>
          </w:p>
        </w:tc>
      </w:tr>
    </w:tbl>
    <w:p w:rsidR="00BD4A7B" w:rsidRPr="000259D3" w:rsidRDefault="00CE4519" w:rsidP="000259D3">
      <w:pPr>
        <w:jc w:val="both"/>
        <w:rPr>
          <w:rFonts w:ascii="Arial" w:hAnsi="Arial"/>
          <w:sz w:val="20"/>
          <w:szCs w:val="20"/>
        </w:rPr>
      </w:pPr>
      <w:r w:rsidRPr="000259D3">
        <w:rPr>
          <w:rFonts w:ascii="Arial" w:hAnsi="Arial"/>
          <w:sz w:val="20"/>
          <w:szCs w:val="20"/>
        </w:rPr>
        <w:t>Vir:</w:t>
      </w:r>
    </w:p>
    <w:p w:rsidR="00CE4519" w:rsidRPr="000259D3" w:rsidRDefault="00CE4519" w:rsidP="000259D3">
      <w:pPr>
        <w:jc w:val="both"/>
        <w:rPr>
          <w:rFonts w:ascii="Arial" w:hAnsi="Arial"/>
          <w:sz w:val="20"/>
          <w:szCs w:val="20"/>
        </w:rPr>
      </w:pPr>
      <w:r w:rsidRPr="000259D3">
        <w:rPr>
          <w:rFonts w:ascii="Arial" w:hAnsi="Arial"/>
          <w:sz w:val="20"/>
          <w:szCs w:val="20"/>
        </w:rPr>
        <w:t>Evropska komisija</w:t>
      </w:r>
    </w:p>
    <w:p w:rsidR="000033FF" w:rsidRDefault="000033FF" w:rsidP="000259D3">
      <w:pPr>
        <w:jc w:val="both"/>
        <w:rPr>
          <w:rFonts w:ascii="Arial" w:hAnsi="Arial"/>
          <w:sz w:val="20"/>
          <w:szCs w:val="20"/>
        </w:rPr>
      </w:pPr>
    </w:p>
    <w:p w:rsidR="00CE4519" w:rsidRPr="000033FF" w:rsidRDefault="00CE4519" w:rsidP="000259D3">
      <w:pPr>
        <w:jc w:val="both"/>
        <w:rPr>
          <w:rFonts w:ascii="Arial" w:hAnsi="Arial"/>
          <w:b/>
          <w:sz w:val="20"/>
          <w:szCs w:val="20"/>
        </w:rPr>
      </w:pPr>
      <w:r w:rsidRPr="000033FF">
        <w:rPr>
          <w:rFonts w:ascii="Arial" w:hAnsi="Arial"/>
          <w:b/>
          <w:sz w:val="20"/>
          <w:szCs w:val="20"/>
        </w:rPr>
        <w:t>Koristne informacije:</w:t>
      </w:r>
    </w:p>
    <w:p w:rsidR="000033FF" w:rsidRDefault="000033FF" w:rsidP="000259D3">
      <w:pPr>
        <w:jc w:val="both"/>
        <w:rPr>
          <w:rFonts w:ascii="Arial" w:hAnsi="Arial"/>
          <w:sz w:val="20"/>
          <w:szCs w:val="20"/>
        </w:rPr>
      </w:pPr>
    </w:p>
    <w:p w:rsidR="00CE4519" w:rsidRPr="000033FF" w:rsidRDefault="004A24DE" w:rsidP="000033FF">
      <w:pPr>
        <w:pStyle w:val="Odstavekseznama"/>
        <w:numPr>
          <w:ilvl w:val="0"/>
          <w:numId w:val="3"/>
        </w:numPr>
        <w:jc w:val="both"/>
        <w:rPr>
          <w:rFonts w:ascii="Arial" w:hAnsi="Arial"/>
          <w:sz w:val="20"/>
          <w:szCs w:val="20"/>
        </w:rPr>
      </w:pPr>
      <w:r w:rsidRPr="000033FF">
        <w:rPr>
          <w:rFonts w:ascii="Arial" w:hAnsi="Arial"/>
          <w:sz w:val="20"/>
          <w:szCs w:val="20"/>
        </w:rPr>
        <w:t>Spletna stran z informacijami o začasnem kriznem okviru:</w:t>
      </w:r>
    </w:p>
    <w:p w:rsidR="004A24DE" w:rsidRPr="000033FF" w:rsidRDefault="004A24DE" w:rsidP="000033FF">
      <w:pPr>
        <w:pStyle w:val="Odstavekseznama"/>
        <w:numPr>
          <w:ilvl w:val="0"/>
          <w:numId w:val="3"/>
        </w:numPr>
        <w:jc w:val="both"/>
        <w:rPr>
          <w:rFonts w:ascii="Arial" w:hAnsi="Arial"/>
          <w:sz w:val="20"/>
          <w:szCs w:val="20"/>
        </w:rPr>
      </w:pPr>
      <w:hyperlink r:id="rId6" w:history="1">
        <w:r w:rsidRPr="000033FF">
          <w:rPr>
            <w:rStyle w:val="Hiperpovezava"/>
            <w:rFonts w:ascii="Arial" w:hAnsi="Arial" w:cs="Arial"/>
            <w:sz w:val="20"/>
            <w:szCs w:val="20"/>
          </w:rPr>
          <w:t>https://competition-policy.ec.europa.eu/state-aid/ukraine_sl</w:t>
        </w:r>
      </w:hyperlink>
    </w:p>
    <w:p w:rsidR="004A24DE" w:rsidRPr="000259D3" w:rsidRDefault="004A24DE" w:rsidP="000259D3">
      <w:pPr>
        <w:jc w:val="both"/>
        <w:rPr>
          <w:rFonts w:ascii="Arial" w:hAnsi="Arial"/>
          <w:sz w:val="20"/>
          <w:szCs w:val="20"/>
        </w:rPr>
      </w:pPr>
    </w:p>
    <w:p w:rsidR="004A24DE" w:rsidRPr="000033FF" w:rsidRDefault="004A24DE" w:rsidP="000033FF">
      <w:pPr>
        <w:pStyle w:val="Odstavekseznama"/>
        <w:numPr>
          <w:ilvl w:val="0"/>
          <w:numId w:val="3"/>
        </w:numPr>
        <w:jc w:val="both"/>
        <w:rPr>
          <w:rFonts w:ascii="Arial" w:hAnsi="Arial"/>
          <w:sz w:val="20"/>
          <w:szCs w:val="20"/>
        </w:rPr>
      </w:pPr>
      <w:r w:rsidRPr="000033FF">
        <w:rPr>
          <w:rFonts w:ascii="Arial" w:hAnsi="Arial"/>
          <w:sz w:val="20"/>
          <w:szCs w:val="20"/>
        </w:rPr>
        <w:t xml:space="preserve">Spletna stran z informacijami o začasnem okviru za državno pomoč zaradi izbruha </w:t>
      </w:r>
      <w:proofErr w:type="spellStart"/>
      <w:r w:rsidRPr="000033FF">
        <w:rPr>
          <w:rFonts w:ascii="Arial" w:hAnsi="Arial"/>
          <w:sz w:val="20"/>
          <w:szCs w:val="20"/>
        </w:rPr>
        <w:t>covida</w:t>
      </w:r>
      <w:proofErr w:type="spellEnd"/>
      <w:r w:rsidRPr="000033FF">
        <w:rPr>
          <w:rFonts w:ascii="Arial" w:hAnsi="Arial"/>
          <w:sz w:val="20"/>
          <w:szCs w:val="20"/>
        </w:rPr>
        <w:t>-19:</w:t>
      </w:r>
    </w:p>
    <w:p w:rsidR="004A24DE" w:rsidRPr="000033FF" w:rsidRDefault="004A24DE" w:rsidP="000033FF">
      <w:pPr>
        <w:pStyle w:val="Odstavekseznama"/>
        <w:numPr>
          <w:ilvl w:val="0"/>
          <w:numId w:val="3"/>
        </w:numPr>
        <w:jc w:val="both"/>
        <w:rPr>
          <w:rFonts w:ascii="Arial" w:hAnsi="Arial"/>
          <w:sz w:val="20"/>
          <w:szCs w:val="20"/>
        </w:rPr>
      </w:pPr>
      <w:hyperlink r:id="rId7" w:history="1">
        <w:r w:rsidRPr="000033FF">
          <w:rPr>
            <w:rStyle w:val="Hiperpovezava"/>
            <w:rFonts w:ascii="Arial" w:hAnsi="Arial" w:cs="Arial"/>
            <w:sz w:val="20"/>
            <w:szCs w:val="20"/>
          </w:rPr>
          <w:t>https://competition-policy.ec.europa.eu/state-aid/coronavirus/temporary-framework_sl</w:t>
        </w:r>
      </w:hyperlink>
    </w:p>
    <w:p w:rsidR="004A24DE" w:rsidRDefault="004A24DE" w:rsidP="000033FF">
      <w:pPr>
        <w:tabs>
          <w:tab w:val="left" w:pos="950"/>
        </w:tabs>
        <w:ind w:firstLine="945"/>
      </w:pPr>
    </w:p>
    <w:p w:rsidR="004A24DE" w:rsidRDefault="004A24DE" w:rsidP="00900826">
      <w:r>
        <w:t>Pripravila:</w:t>
      </w:r>
    </w:p>
    <w:p w:rsidR="004A24DE" w:rsidRPr="00900826" w:rsidRDefault="004A24DE" w:rsidP="00900826">
      <w:r>
        <w:t>Darja Kocbek</w:t>
      </w:r>
    </w:p>
    <w:sectPr w:rsidR="004A24DE" w:rsidRPr="00900826" w:rsidSect="007308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E5BBF"/>
    <w:multiLevelType w:val="hybridMultilevel"/>
    <w:tmpl w:val="89F272B8"/>
    <w:lvl w:ilvl="0" w:tplc="2D0C98C0">
      <w:start w:val="7"/>
      <w:numFmt w:val="bullet"/>
      <w:lvlText w:val="-"/>
      <w:lvlJc w:val="left"/>
      <w:pPr>
        <w:ind w:left="420" w:hanging="360"/>
      </w:pPr>
      <w:rPr>
        <w:rFonts w:ascii="Arial" w:eastAsia="NSimSu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
    <w:nsid w:val="3ED66448"/>
    <w:multiLevelType w:val="hybridMultilevel"/>
    <w:tmpl w:val="031A6EBC"/>
    <w:lvl w:ilvl="0" w:tplc="9872FD4C">
      <w:start w:val="7"/>
      <w:numFmt w:val="bullet"/>
      <w:lvlText w:val="-"/>
      <w:lvlJc w:val="left"/>
      <w:pPr>
        <w:ind w:left="720" w:hanging="360"/>
      </w:pPr>
      <w:rPr>
        <w:rFonts w:ascii="Times New Roman" w:eastAsia="N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72E452E7"/>
    <w:multiLevelType w:val="hybridMultilevel"/>
    <w:tmpl w:val="4BFEE6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7B0252EF"/>
    <w:multiLevelType w:val="hybridMultilevel"/>
    <w:tmpl w:val="E3887EEC"/>
    <w:lvl w:ilvl="0" w:tplc="9872FD4C">
      <w:start w:val="7"/>
      <w:numFmt w:val="bullet"/>
      <w:lvlText w:val="-"/>
      <w:lvlJc w:val="left"/>
      <w:pPr>
        <w:ind w:left="720" w:hanging="360"/>
      </w:pPr>
      <w:rPr>
        <w:rFonts w:ascii="Times New Roman" w:eastAsia="N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00826"/>
    <w:rsid w:val="000033FF"/>
    <w:rsid w:val="000259D3"/>
    <w:rsid w:val="001C2F88"/>
    <w:rsid w:val="004A24DE"/>
    <w:rsid w:val="007308DA"/>
    <w:rsid w:val="00900826"/>
    <w:rsid w:val="00BB6BBC"/>
    <w:rsid w:val="00BD4A7B"/>
    <w:rsid w:val="00CE451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00826"/>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BB6BBC"/>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00826"/>
    <w:rPr>
      <w:color w:val="0000FF"/>
      <w:u w:val="single"/>
    </w:rPr>
  </w:style>
  <w:style w:type="table" w:styleId="Tabela-mrea">
    <w:name w:val="Table Grid"/>
    <w:basedOn w:val="Navadnatabela"/>
    <w:uiPriority w:val="59"/>
    <w:rsid w:val="001C2F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repko">
    <w:name w:val="Strong"/>
    <w:basedOn w:val="Privzetapisavaodstavka"/>
    <w:uiPriority w:val="22"/>
    <w:qFormat/>
    <w:rsid w:val="001C2F88"/>
    <w:rPr>
      <w:b/>
      <w:bCs/>
    </w:rPr>
  </w:style>
  <w:style w:type="paragraph" w:styleId="Odstavekseznama">
    <w:name w:val="List Paragraph"/>
    <w:basedOn w:val="Navaden"/>
    <w:uiPriority w:val="34"/>
    <w:qFormat/>
    <w:rsid w:val="001C2F88"/>
    <w:pPr>
      <w:ind w:left="720"/>
      <w:contextualSpacing/>
    </w:pPr>
    <w:rPr>
      <w:rFonts w:cs="Mangal"/>
      <w:szCs w:val="21"/>
    </w:rPr>
  </w:style>
  <w:style w:type="character" w:customStyle="1" w:styleId="Naslov2Znak">
    <w:name w:val="Naslov 2 Znak"/>
    <w:basedOn w:val="Privzetapisavaodstavka"/>
    <w:link w:val="Naslov2"/>
    <w:uiPriority w:val="9"/>
    <w:semiHidden/>
    <w:rsid w:val="00BB6BB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B6BBC"/>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BB6BBC"/>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petition-policy.ec.europa.eu/state-aid/coronavirus/temporary-framework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etition-policy.ec.europa.eu/state-aid/ukraine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472</Words>
  <Characters>2691</Characters>
  <Application>Microsoft Office Word</Application>
  <DocSecurity>0</DocSecurity>
  <Lines>22</Lines>
  <Paragraphs>6</Paragraphs>
  <ScaleCrop>false</ScaleCrop>
  <Company>HP</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2022-11-03T08:01:00Z</dcterms:created>
  <dcterms:modified xsi:type="dcterms:W3CDTF">2022-11-03T08:26:00Z</dcterms:modified>
</cp:coreProperties>
</file>